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0C" w:rsidRDefault="00A1230C" w:rsidP="00A1230C">
      <w:pPr>
        <w:pStyle w:val="sta"/>
        <w:tabs>
          <w:tab w:val="clear" w:pos="113"/>
        </w:tabs>
        <w:rPr>
          <w:rFonts w:ascii="Times New Roman" w:hAnsi="Times New Roman"/>
          <w:lang w:val="sk-SK"/>
        </w:rPr>
        <w:sectPr w:rsidR="00A1230C" w:rsidSect="00A1230C">
          <w:headerReference w:type="default" r:id="rId8"/>
          <w:footerReference w:type="default" r:id="rId9"/>
          <w:pgSz w:w="11906" w:h="16838"/>
          <w:pgMar w:top="1134" w:right="992" w:bottom="1134" w:left="992" w:header="709" w:footer="709" w:gutter="0"/>
          <w:cols w:space="708"/>
          <w:docGrid w:linePitch="360"/>
        </w:sectPr>
      </w:pPr>
      <w:bookmarkStart w:id="0" w:name="_GoBack"/>
      <w:bookmarkEnd w:id="0"/>
    </w:p>
    <w:p w:rsidR="002045A6" w:rsidRPr="00B8170D" w:rsidRDefault="003804AE" w:rsidP="00BC7363">
      <w:pPr>
        <w:pStyle w:val="PotText"/>
        <w:framePr w:w="9962" w:h="6121" w:hRule="exact" w:vSpace="62" w:wrap="around" w:vAnchor="page" w:hAnchor="page" w:x="1006" w:y="1156"/>
        <w:pBdr>
          <w:bottom w:val="single" w:sz="18" w:space="1" w:color="auto"/>
        </w:pBdr>
        <w:jc w:val="right"/>
        <w:rPr>
          <w:b/>
          <w:sz w:val="18"/>
          <w:szCs w:val="18"/>
          <w:lang w:val="sk-SK"/>
        </w:rPr>
      </w:pPr>
      <w:r>
        <w:rPr>
          <w:b/>
          <w:i/>
          <w:noProof/>
          <w:sz w:val="18"/>
          <w:szCs w:val="18"/>
          <w:lang w:val="sk-SK" w:eastAsia="sk-SK"/>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2076450" cy="674370"/>
            <wp:effectExtent l="0" t="0" r="0" b="0"/>
            <wp:wrapNone/>
            <wp:docPr id="5" name="Obrázok 5" descr="logo2 s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 s 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67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5A6" w:rsidRPr="00B8170D">
        <w:rPr>
          <w:b/>
          <w:i/>
          <w:sz w:val="18"/>
          <w:szCs w:val="18"/>
          <w:lang w:val="sk-SK"/>
        </w:rPr>
        <w:t>Potravinarstvo</w:t>
      </w:r>
      <w:r w:rsidR="002045A6" w:rsidRPr="00B8170D">
        <w:rPr>
          <w:b/>
          <w:sz w:val="18"/>
          <w:szCs w:val="18"/>
          <w:lang w:val="sk-SK"/>
        </w:rPr>
        <w:t>, vol.</w:t>
      </w:r>
      <w:r w:rsidR="00D13019">
        <w:rPr>
          <w:b/>
          <w:sz w:val="18"/>
          <w:szCs w:val="18"/>
          <w:lang w:val="sk-SK"/>
        </w:rPr>
        <w:t xml:space="preserve"> 7</w:t>
      </w:r>
      <w:r w:rsidR="002045A6" w:rsidRPr="00B8170D">
        <w:rPr>
          <w:b/>
          <w:sz w:val="18"/>
          <w:szCs w:val="18"/>
          <w:lang w:val="sk-SK"/>
        </w:rPr>
        <w:t xml:space="preserve"> , 201</w:t>
      </w:r>
      <w:r w:rsidR="00E14538">
        <w:rPr>
          <w:b/>
          <w:sz w:val="18"/>
          <w:szCs w:val="18"/>
          <w:lang w:val="sk-SK"/>
        </w:rPr>
        <w:t>3</w:t>
      </w:r>
      <w:r w:rsidR="002045A6" w:rsidRPr="00B8170D">
        <w:rPr>
          <w:b/>
          <w:sz w:val="18"/>
          <w:szCs w:val="18"/>
          <w:lang w:val="sk-SK"/>
        </w:rPr>
        <w:t>, no.</w:t>
      </w:r>
      <w:r w:rsidR="00D13019">
        <w:rPr>
          <w:b/>
          <w:sz w:val="18"/>
          <w:szCs w:val="18"/>
          <w:lang w:val="sk-SK"/>
        </w:rPr>
        <w:t>1</w:t>
      </w:r>
      <w:r w:rsidR="002045A6" w:rsidRPr="00B8170D">
        <w:rPr>
          <w:b/>
          <w:sz w:val="18"/>
          <w:szCs w:val="18"/>
          <w:lang w:val="sk-SK"/>
        </w:rPr>
        <w:t xml:space="preserve">, p. </w:t>
      </w:r>
      <w:r w:rsidR="001B5800">
        <w:rPr>
          <w:b/>
          <w:sz w:val="18"/>
          <w:szCs w:val="18"/>
          <w:lang w:val="sk-SK"/>
        </w:rPr>
        <w:t>XX</w:t>
      </w:r>
      <w:r w:rsidR="002045A6" w:rsidRPr="00B8170D">
        <w:rPr>
          <w:b/>
          <w:sz w:val="18"/>
          <w:szCs w:val="18"/>
          <w:lang w:val="sk-SK"/>
        </w:rPr>
        <w:t>-</w:t>
      </w:r>
      <w:r w:rsidR="001B5800">
        <w:rPr>
          <w:b/>
          <w:sz w:val="18"/>
          <w:szCs w:val="18"/>
          <w:lang w:val="sk-SK"/>
        </w:rPr>
        <w:t>XX</w:t>
      </w:r>
    </w:p>
    <w:p w:rsidR="002045A6" w:rsidRPr="00B8170D" w:rsidRDefault="002045A6" w:rsidP="00BC7363">
      <w:pPr>
        <w:pStyle w:val="PotText"/>
        <w:framePr w:w="9962" w:h="6121" w:hRule="exact" w:vSpace="62" w:wrap="around" w:vAnchor="page" w:hAnchor="page" w:x="1006" w:y="1156"/>
        <w:pBdr>
          <w:bottom w:val="single" w:sz="18" w:space="1" w:color="auto"/>
        </w:pBdr>
        <w:jc w:val="right"/>
        <w:rPr>
          <w:b/>
          <w:sz w:val="18"/>
          <w:szCs w:val="18"/>
          <w:lang w:val="sk-SK"/>
        </w:rPr>
      </w:pPr>
      <w:r w:rsidRPr="00B8170D">
        <w:rPr>
          <w:b/>
          <w:sz w:val="18"/>
          <w:szCs w:val="18"/>
        </w:rPr>
        <w:t>doi:10.5219/</w:t>
      </w:r>
      <w:r w:rsidRPr="00B8170D">
        <w:rPr>
          <w:b/>
          <w:sz w:val="18"/>
          <w:szCs w:val="18"/>
          <w:lang w:val="sk-SK"/>
        </w:rPr>
        <w:t>XXX</w:t>
      </w:r>
    </w:p>
    <w:p w:rsidR="003F77C7" w:rsidRDefault="003F77C7" w:rsidP="00BC7363">
      <w:pPr>
        <w:framePr w:w="9962" w:h="6121" w:hRule="exact" w:vSpace="62" w:wrap="around" w:vAnchor="page" w:hAnchor="page" w:x="1006" w:y="1156"/>
        <w:pBdr>
          <w:bottom w:val="single" w:sz="18" w:space="1" w:color="auto"/>
        </w:pBdr>
        <w:jc w:val="right"/>
        <w:rPr>
          <w:rStyle w:val="shorttext"/>
          <w:color w:val="000000"/>
          <w:sz w:val="18"/>
          <w:szCs w:val="18"/>
          <w:shd w:val="clear" w:color="auto" w:fill="FFFFFF"/>
        </w:rPr>
      </w:pPr>
      <w:r w:rsidRPr="00B8170D">
        <w:rPr>
          <w:rStyle w:val="shorttext"/>
          <w:color w:val="000000"/>
          <w:sz w:val="18"/>
          <w:szCs w:val="18"/>
          <w:shd w:val="clear" w:color="auto" w:fill="FFFFFF"/>
        </w:rPr>
        <w:t>Rece</w:t>
      </w:r>
      <w:r w:rsidR="001B5800">
        <w:rPr>
          <w:rStyle w:val="shorttext"/>
          <w:color w:val="000000"/>
          <w:sz w:val="18"/>
          <w:szCs w:val="18"/>
          <w:shd w:val="clear" w:color="auto" w:fill="FFFFFF"/>
        </w:rPr>
        <w:t>i</w:t>
      </w:r>
      <w:r w:rsidRPr="00B8170D">
        <w:rPr>
          <w:rStyle w:val="shorttext"/>
          <w:color w:val="000000"/>
          <w:sz w:val="18"/>
          <w:szCs w:val="18"/>
          <w:shd w:val="clear" w:color="auto" w:fill="FFFFFF"/>
        </w:rPr>
        <w:t>ved:  201</w:t>
      </w:r>
      <w:r w:rsidR="00D2354C">
        <w:rPr>
          <w:rStyle w:val="shorttext"/>
          <w:color w:val="000000"/>
          <w:sz w:val="18"/>
          <w:szCs w:val="18"/>
          <w:shd w:val="clear" w:color="auto" w:fill="FFFFFF"/>
        </w:rPr>
        <w:t>3</w:t>
      </w:r>
      <w:r w:rsidR="00B8170D">
        <w:rPr>
          <w:rStyle w:val="shorttext"/>
          <w:color w:val="000000"/>
          <w:sz w:val="18"/>
          <w:szCs w:val="18"/>
          <w:shd w:val="clear" w:color="auto" w:fill="FFFFFF"/>
        </w:rPr>
        <w:t xml:space="preserve">. </w:t>
      </w:r>
      <w:r w:rsidRPr="00B8170D">
        <w:rPr>
          <w:rStyle w:val="shorttext"/>
          <w:color w:val="000000"/>
          <w:sz w:val="18"/>
          <w:szCs w:val="18"/>
          <w:shd w:val="clear" w:color="auto" w:fill="FFFFFF"/>
        </w:rPr>
        <w:t>Accepted: .</w:t>
      </w:r>
    </w:p>
    <w:p w:rsidR="00B8170D" w:rsidRDefault="00B8170D" w:rsidP="00BC7363">
      <w:pPr>
        <w:framePr w:w="9962" w:h="6121" w:hRule="exact" w:vSpace="62" w:wrap="around" w:vAnchor="page" w:hAnchor="page" w:x="1006" w:y="1156"/>
        <w:pBdr>
          <w:bottom w:val="single" w:sz="18" w:space="1" w:color="auto"/>
        </w:pBdr>
        <w:jc w:val="right"/>
        <w:rPr>
          <w:rStyle w:val="shorttext"/>
          <w:color w:val="000000"/>
          <w:sz w:val="18"/>
          <w:szCs w:val="18"/>
          <w:shd w:val="clear" w:color="auto" w:fill="FFFFFF"/>
        </w:rPr>
      </w:pPr>
      <w:r w:rsidRPr="00B8170D">
        <w:rPr>
          <w:rStyle w:val="shorttext"/>
          <w:color w:val="000000"/>
          <w:sz w:val="18"/>
          <w:szCs w:val="18"/>
          <w:shd w:val="clear" w:color="auto" w:fill="FFFFFF"/>
        </w:rPr>
        <w:t>Available online</w:t>
      </w:r>
      <w:r w:rsidR="00E14538">
        <w:rPr>
          <w:rStyle w:val="shorttext"/>
          <w:color w:val="000000"/>
          <w:sz w:val="18"/>
          <w:szCs w:val="18"/>
          <w:shd w:val="clear" w:color="auto" w:fill="FFFFFF"/>
        </w:rPr>
        <w:t>:</w:t>
      </w:r>
      <w:r>
        <w:rPr>
          <w:rStyle w:val="shorttext"/>
          <w:color w:val="000000"/>
          <w:sz w:val="18"/>
          <w:szCs w:val="18"/>
          <w:shd w:val="clear" w:color="auto" w:fill="FFFFFF"/>
        </w:rPr>
        <w:t xml:space="preserve">  201</w:t>
      </w:r>
      <w:r w:rsidR="00D2354C">
        <w:rPr>
          <w:rStyle w:val="shorttext"/>
          <w:color w:val="000000"/>
          <w:sz w:val="18"/>
          <w:szCs w:val="18"/>
          <w:shd w:val="clear" w:color="auto" w:fill="FFFFFF"/>
        </w:rPr>
        <w:t>3</w:t>
      </w:r>
      <w:r w:rsidRPr="00B8170D">
        <w:rPr>
          <w:rStyle w:val="shorttext"/>
          <w:color w:val="000000"/>
          <w:sz w:val="18"/>
          <w:szCs w:val="18"/>
          <w:shd w:val="clear" w:color="auto" w:fill="FFFFFF"/>
        </w:rPr>
        <w:t xml:space="preserve"> at www.potravinarstvo.com</w:t>
      </w:r>
    </w:p>
    <w:p w:rsidR="00B8170D" w:rsidRPr="00B8170D" w:rsidRDefault="00B8170D" w:rsidP="00BC7363">
      <w:pPr>
        <w:framePr w:w="9962" w:h="6121" w:hRule="exact" w:vSpace="62" w:wrap="around" w:vAnchor="page" w:hAnchor="page" w:x="1006" w:y="1156"/>
        <w:pBdr>
          <w:bottom w:val="single" w:sz="18" w:space="1" w:color="auto"/>
        </w:pBdr>
        <w:jc w:val="right"/>
        <w:rPr>
          <w:rStyle w:val="shorttext"/>
          <w:color w:val="000000"/>
          <w:sz w:val="18"/>
          <w:szCs w:val="18"/>
          <w:shd w:val="clear" w:color="auto" w:fill="FFFFFF"/>
        </w:rPr>
      </w:pPr>
      <w:r>
        <w:rPr>
          <w:rStyle w:val="shorttext"/>
          <w:color w:val="000000"/>
          <w:sz w:val="18"/>
          <w:szCs w:val="18"/>
          <w:shd w:val="clear" w:color="auto" w:fill="FFFFFF"/>
        </w:rPr>
        <w:t>© 201</w:t>
      </w:r>
      <w:r w:rsidR="00E14538">
        <w:rPr>
          <w:rStyle w:val="shorttext"/>
          <w:color w:val="000000"/>
          <w:sz w:val="18"/>
          <w:szCs w:val="18"/>
          <w:shd w:val="clear" w:color="auto" w:fill="FFFFFF"/>
        </w:rPr>
        <w:t>3</w:t>
      </w:r>
      <w:r>
        <w:rPr>
          <w:rStyle w:val="shorttext"/>
          <w:color w:val="000000"/>
          <w:sz w:val="18"/>
          <w:szCs w:val="18"/>
          <w:shd w:val="clear" w:color="auto" w:fill="FFFFFF"/>
        </w:rPr>
        <w:t xml:space="preserve"> </w:t>
      </w:r>
      <w:r w:rsidRPr="00B8170D">
        <w:rPr>
          <w:rStyle w:val="shorttext"/>
          <w:i/>
          <w:color w:val="000000"/>
          <w:sz w:val="18"/>
          <w:szCs w:val="18"/>
          <w:shd w:val="clear" w:color="auto" w:fill="FFFFFF"/>
        </w:rPr>
        <w:t>Potravinarstvo</w:t>
      </w:r>
      <w:r>
        <w:rPr>
          <w:rStyle w:val="shorttext"/>
          <w:i/>
          <w:color w:val="000000"/>
          <w:sz w:val="18"/>
          <w:szCs w:val="18"/>
          <w:shd w:val="clear" w:color="auto" w:fill="FFFFFF"/>
        </w:rPr>
        <w:t>.</w:t>
      </w:r>
      <w:r>
        <w:rPr>
          <w:rStyle w:val="shorttext"/>
          <w:color w:val="000000"/>
          <w:sz w:val="18"/>
          <w:szCs w:val="18"/>
          <w:shd w:val="clear" w:color="auto" w:fill="FFFFFF"/>
        </w:rPr>
        <w:t xml:space="preserve"> All rights reserved.</w:t>
      </w:r>
    </w:p>
    <w:p w:rsidR="003F77C7" w:rsidRPr="003F77C7" w:rsidRDefault="00A02484" w:rsidP="00A02484">
      <w:pPr>
        <w:framePr w:w="9962" w:h="6121" w:hRule="exact" w:vSpace="62" w:wrap="around" w:vAnchor="page" w:hAnchor="page" w:x="1006" w:y="1156"/>
        <w:pBdr>
          <w:bottom w:val="single" w:sz="18" w:space="1" w:color="auto"/>
        </w:pBdr>
        <w:jc w:val="right"/>
        <w:rPr>
          <w:rStyle w:val="shorttext"/>
          <w:color w:val="000000"/>
          <w:sz w:val="16"/>
          <w:szCs w:val="16"/>
          <w:shd w:val="clear" w:color="auto" w:fill="FFFFFF"/>
        </w:rPr>
      </w:pPr>
      <w:r>
        <w:rPr>
          <w:rStyle w:val="shorttext"/>
          <w:color w:val="000000"/>
          <w:sz w:val="16"/>
          <w:szCs w:val="16"/>
          <w:shd w:val="clear" w:color="auto" w:fill="FFFFFF"/>
        </w:rPr>
        <w:t xml:space="preserve">ISSN </w:t>
      </w:r>
      <w:r w:rsidRPr="00A02484">
        <w:rPr>
          <w:rStyle w:val="shorttext"/>
          <w:color w:val="000000"/>
          <w:sz w:val="16"/>
          <w:szCs w:val="16"/>
          <w:shd w:val="clear" w:color="auto" w:fill="FFFFFF"/>
        </w:rPr>
        <w:t>1337-0960</w:t>
      </w:r>
      <w:r>
        <w:rPr>
          <w:rStyle w:val="shorttext"/>
          <w:color w:val="000000"/>
          <w:sz w:val="16"/>
          <w:szCs w:val="16"/>
          <w:shd w:val="clear" w:color="auto" w:fill="FFFFFF"/>
        </w:rPr>
        <w:t xml:space="preserve"> (online)</w:t>
      </w:r>
    </w:p>
    <w:p w:rsidR="00BC7363" w:rsidRDefault="00BC7363" w:rsidP="00BC7363">
      <w:pPr>
        <w:framePr w:w="9962" w:h="6121" w:hRule="exact" w:vSpace="62" w:wrap="around" w:vAnchor="page" w:hAnchor="page" w:x="1006" w:y="1156"/>
        <w:pBdr>
          <w:bottom w:val="single" w:sz="18" w:space="1" w:color="auto"/>
        </w:pBdr>
        <w:jc w:val="center"/>
        <w:rPr>
          <w:rStyle w:val="shorttext"/>
          <w:rFonts w:ascii="Arial Black" w:hAnsi="Arial Black"/>
          <w:b/>
          <w:color w:val="000000"/>
          <w:shd w:val="clear" w:color="auto" w:fill="FFFFFF"/>
        </w:rPr>
      </w:pPr>
    </w:p>
    <w:p w:rsidR="003F77C7" w:rsidRPr="00E70C8F" w:rsidRDefault="0076030A" w:rsidP="00BC7363">
      <w:pPr>
        <w:framePr w:w="9962" w:h="6121" w:hRule="exact" w:vSpace="62" w:wrap="around" w:vAnchor="page" w:hAnchor="page" w:x="1006" w:y="1156"/>
        <w:pBdr>
          <w:bottom w:val="single" w:sz="18" w:space="1" w:color="auto"/>
        </w:pBdr>
        <w:jc w:val="center"/>
        <w:rPr>
          <w:rStyle w:val="shorttext"/>
          <w:rFonts w:ascii="Arial Black" w:hAnsi="Arial Black"/>
          <w:b/>
          <w:color w:val="000000"/>
          <w:shd w:val="clear" w:color="auto" w:fill="FFFFFF"/>
        </w:rPr>
      </w:pPr>
      <w:r>
        <w:rPr>
          <w:rStyle w:val="shorttext"/>
          <w:rFonts w:ascii="Arial Black" w:hAnsi="Arial Black"/>
          <w:b/>
          <w:color w:val="000000"/>
          <w:shd w:val="clear" w:color="auto" w:fill="FFFFFF"/>
        </w:rPr>
        <w:t>CELIAC DISEASE AND GLUTEN-FREE DIET</w:t>
      </w:r>
    </w:p>
    <w:p w:rsidR="003F77C7" w:rsidRPr="00E70C8F" w:rsidRDefault="003F77C7" w:rsidP="00BC7363">
      <w:pPr>
        <w:framePr w:w="9962" w:h="6121" w:hRule="exact" w:vSpace="62" w:wrap="around" w:vAnchor="page" w:hAnchor="page" w:x="1006" w:y="1156"/>
        <w:pBdr>
          <w:bottom w:val="single" w:sz="18" w:space="1" w:color="auto"/>
        </w:pBdr>
        <w:jc w:val="both"/>
        <w:rPr>
          <w:rStyle w:val="shorttext"/>
          <w:rFonts w:ascii="Arial Black" w:hAnsi="Arial Black"/>
          <w:b/>
          <w:color w:val="000000"/>
          <w:shd w:val="clear" w:color="auto" w:fill="FFFFFF"/>
        </w:rPr>
      </w:pPr>
    </w:p>
    <w:p w:rsidR="002045A6" w:rsidRPr="001A23F9" w:rsidRDefault="0076030A" w:rsidP="00BC7363">
      <w:pPr>
        <w:framePr w:w="9962" w:h="6121" w:hRule="exact" w:vSpace="62" w:wrap="around" w:vAnchor="page" w:hAnchor="page" w:x="1006" w:y="1156"/>
        <w:pBdr>
          <w:bottom w:val="single" w:sz="18" w:space="1" w:color="auto"/>
        </w:pBdr>
        <w:jc w:val="center"/>
        <w:rPr>
          <w:b/>
          <w:i/>
        </w:rPr>
      </w:pPr>
      <w:r>
        <w:rPr>
          <w:b/>
          <w:i/>
        </w:rPr>
        <w:t>Eva, Hybenová, Júlia Štofirová, Anna Mikulajová</w:t>
      </w:r>
    </w:p>
    <w:p w:rsidR="002045A6" w:rsidRDefault="002045A6" w:rsidP="00BC7363">
      <w:pPr>
        <w:framePr w:w="9962" w:h="6121" w:hRule="exact" w:vSpace="62" w:wrap="around" w:vAnchor="page" w:hAnchor="page" w:x="1006" w:y="1156"/>
        <w:pBdr>
          <w:bottom w:val="single" w:sz="18" w:space="1" w:color="auto"/>
        </w:pBdr>
        <w:jc w:val="both"/>
      </w:pPr>
      <w:r>
        <w:t xml:space="preserve"> </w:t>
      </w:r>
    </w:p>
    <w:p w:rsidR="002045A6" w:rsidRDefault="002045A6" w:rsidP="00BC7363">
      <w:pPr>
        <w:pStyle w:val="sta"/>
        <w:framePr w:w="9962" w:h="6121" w:hRule="exact" w:vSpace="62" w:wrap="around" w:vAnchor="page" w:hAnchor="page" w:x="1006" w:y="1156"/>
        <w:pBdr>
          <w:bottom w:val="single" w:sz="18" w:space="1" w:color="auto"/>
        </w:pBdr>
      </w:pPr>
      <w:r w:rsidRPr="00B84B5D">
        <w:t>ABSTRACT</w:t>
      </w:r>
    </w:p>
    <w:p w:rsidR="002045A6" w:rsidRPr="00F75F6F" w:rsidRDefault="004B4B7D" w:rsidP="00F75F6F">
      <w:pPr>
        <w:pStyle w:val="Normlnywebov"/>
        <w:framePr w:w="9962" w:h="6121" w:hRule="exact" w:vSpace="62" w:wrap="around" w:vAnchor="page" w:hAnchor="page" w:x="1006" w:y="1156"/>
        <w:pBdr>
          <w:bottom w:val="single" w:sz="18" w:space="1" w:color="auto"/>
        </w:pBdr>
        <w:spacing w:before="96" w:beforeAutospacing="0" w:after="120" w:afterAutospacing="0" w:line="276" w:lineRule="auto"/>
        <w:jc w:val="both"/>
        <w:rPr>
          <w:color w:val="000000"/>
          <w:sz w:val="20"/>
          <w:szCs w:val="20"/>
        </w:rPr>
      </w:pPr>
      <w:r>
        <w:rPr>
          <w:rStyle w:val="apple-style-span"/>
          <w:color w:val="000000"/>
          <w:sz w:val="20"/>
          <w:szCs w:val="20"/>
        </w:rPr>
        <w:t xml:space="preserve">Celiac disease is </w:t>
      </w:r>
      <w:r w:rsidR="007857BD">
        <w:rPr>
          <w:rStyle w:val="apple-style-span"/>
          <w:color w:val="000000"/>
          <w:sz w:val="20"/>
          <w:szCs w:val="20"/>
        </w:rPr>
        <w:t xml:space="preserve">an </w:t>
      </w:r>
      <w:r w:rsidR="009D7BC4">
        <w:rPr>
          <w:rStyle w:val="apple-style-span"/>
          <w:color w:val="000000"/>
          <w:sz w:val="20"/>
          <w:szCs w:val="20"/>
        </w:rPr>
        <w:t xml:space="preserve">autoimmunity inflammatory </w:t>
      </w:r>
      <w:r w:rsidR="00930744">
        <w:rPr>
          <w:rStyle w:val="apple-style-span"/>
          <w:color w:val="000000"/>
          <w:sz w:val="20"/>
          <w:szCs w:val="20"/>
        </w:rPr>
        <w:t>disorder</w:t>
      </w:r>
      <w:r>
        <w:rPr>
          <w:rStyle w:val="apple-style-span"/>
          <w:color w:val="000000"/>
          <w:sz w:val="20"/>
          <w:szCs w:val="20"/>
        </w:rPr>
        <w:t xml:space="preserve"> </w:t>
      </w:r>
      <w:r w:rsidR="009D7BC4">
        <w:rPr>
          <w:rStyle w:val="apple-style-span"/>
          <w:color w:val="000000"/>
          <w:sz w:val="20"/>
          <w:szCs w:val="20"/>
        </w:rPr>
        <w:t xml:space="preserve">of the small intestine caused by the ingestion of gluten in genetically predisposed individuals. </w:t>
      </w:r>
      <w:r w:rsidR="001E52DA">
        <w:rPr>
          <w:rStyle w:val="apple-style-span"/>
          <w:color w:val="000000"/>
          <w:sz w:val="20"/>
          <w:szCs w:val="20"/>
        </w:rPr>
        <w:t>The prevalence</w:t>
      </w:r>
      <w:r w:rsidR="00A1219E">
        <w:rPr>
          <w:rStyle w:val="apple-style-span"/>
          <w:color w:val="000000"/>
          <w:sz w:val="20"/>
          <w:szCs w:val="20"/>
        </w:rPr>
        <w:t xml:space="preserve"> of the disorder</w:t>
      </w:r>
      <w:r w:rsidR="001E52DA">
        <w:rPr>
          <w:rStyle w:val="apple-style-span"/>
          <w:color w:val="000000"/>
          <w:sz w:val="20"/>
          <w:szCs w:val="20"/>
        </w:rPr>
        <w:t xml:space="preserve"> </w:t>
      </w:r>
      <w:r w:rsidR="009D7BC4">
        <w:rPr>
          <w:rStyle w:val="apple-style-span"/>
          <w:color w:val="000000"/>
          <w:sz w:val="20"/>
          <w:szCs w:val="20"/>
        </w:rPr>
        <w:t>is around 1 % of the Western population and is still increasing. The symptoms of celiac disease include chronic abdominal pain, diarrhoea, and growth retardation in children, and chronic fatigue and headache, bowel complaints, reduced fertility, dermatitis herpetiformis, osteoporosis, nerve and brain disorders, increasing risk of intestinal cancer. The clinical diagnosis of the disease is based on the serological tests and bowel biopsy. The treatment is a long-life gluten-free diet.</w:t>
      </w:r>
      <w:r w:rsidR="001E52DA">
        <w:rPr>
          <w:rStyle w:val="apple-style-span"/>
          <w:color w:val="000000"/>
          <w:sz w:val="20"/>
          <w:szCs w:val="20"/>
        </w:rPr>
        <w:t xml:space="preserve"> It is </w:t>
      </w:r>
      <w:r w:rsidR="00337C46">
        <w:rPr>
          <w:rStyle w:val="apple-style-span"/>
          <w:color w:val="000000"/>
          <w:sz w:val="20"/>
          <w:szCs w:val="20"/>
        </w:rPr>
        <w:t xml:space="preserve">necessary exclude from </w:t>
      </w:r>
      <w:r w:rsidR="009D7BC4">
        <w:rPr>
          <w:rStyle w:val="apple-style-span"/>
          <w:color w:val="000000"/>
          <w:sz w:val="20"/>
          <w:szCs w:val="20"/>
        </w:rPr>
        <w:t xml:space="preserve">the </w:t>
      </w:r>
      <w:r w:rsidR="00337C46">
        <w:rPr>
          <w:rStyle w:val="apple-style-span"/>
          <w:color w:val="000000"/>
          <w:sz w:val="20"/>
          <w:szCs w:val="20"/>
        </w:rPr>
        <w:t xml:space="preserve">diet </w:t>
      </w:r>
      <w:r w:rsidR="001E52DA">
        <w:rPr>
          <w:rStyle w:val="apple-style-span"/>
          <w:color w:val="000000"/>
          <w:sz w:val="20"/>
          <w:szCs w:val="20"/>
        </w:rPr>
        <w:t xml:space="preserve">wheat, rye, barley and probably oats and buckwheat and their products. The </w:t>
      </w:r>
      <w:r w:rsidR="00346EB8">
        <w:rPr>
          <w:rStyle w:val="apple-style-span"/>
          <w:color w:val="000000"/>
          <w:sz w:val="20"/>
          <w:szCs w:val="20"/>
        </w:rPr>
        <w:t xml:space="preserve">novel approaches for </w:t>
      </w:r>
      <w:r w:rsidR="001E52DA">
        <w:rPr>
          <w:rStyle w:val="apple-style-span"/>
          <w:color w:val="000000"/>
          <w:sz w:val="20"/>
          <w:szCs w:val="20"/>
        </w:rPr>
        <w:t xml:space="preserve">celiac disease </w:t>
      </w:r>
      <w:r w:rsidR="00346EB8">
        <w:rPr>
          <w:rStyle w:val="apple-style-span"/>
          <w:color w:val="000000"/>
          <w:sz w:val="20"/>
          <w:szCs w:val="20"/>
        </w:rPr>
        <w:t>are</w:t>
      </w:r>
      <w:r w:rsidR="00337C46">
        <w:rPr>
          <w:rStyle w:val="apple-style-span"/>
          <w:color w:val="000000"/>
          <w:sz w:val="20"/>
          <w:szCs w:val="20"/>
        </w:rPr>
        <w:t xml:space="preserve"> focused on </w:t>
      </w:r>
      <w:r w:rsidR="003F6B00">
        <w:rPr>
          <w:rStyle w:val="apple-style-span"/>
          <w:color w:val="000000"/>
          <w:sz w:val="20"/>
          <w:szCs w:val="20"/>
        </w:rPr>
        <w:t xml:space="preserve">the </w:t>
      </w:r>
      <w:r w:rsidR="00346EB8">
        <w:rPr>
          <w:rStyle w:val="apple-style-span"/>
          <w:color w:val="000000"/>
          <w:sz w:val="20"/>
          <w:szCs w:val="20"/>
        </w:rPr>
        <w:t>genetic m</w:t>
      </w:r>
      <w:r w:rsidR="00930744">
        <w:rPr>
          <w:rStyle w:val="apple-style-span"/>
          <w:color w:val="000000"/>
          <w:sz w:val="20"/>
          <w:szCs w:val="20"/>
        </w:rPr>
        <w:t xml:space="preserve">anipulation </w:t>
      </w:r>
      <w:r w:rsidR="00346EB8">
        <w:rPr>
          <w:rStyle w:val="apple-style-span"/>
          <w:color w:val="000000"/>
          <w:sz w:val="20"/>
          <w:szCs w:val="20"/>
        </w:rPr>
        <w:t xml:space="preserve">of </w:t>
      </w:r>
      <w:r w:rsidR="0080572B">
        <w:rPr>
          <w:rStyle w:val="apple-style-span"/>
          <w:color w:val="000000"/>
          <w:sz w:val="20"/>
          <w:szCs w:val="20"/>
        </w:rPr>
        <w:t xml:space="preserve">nontoxic </w:t>
      </w:r>
      <w:r w:rsidR="00346EB8">
        <w:rPr>
          <w:rStyle w:val="apple-style-span"/>
          <w:color w:val="000000"/>
          <w:sz w:val="20"/>
          <w:szCs w:val="20"/>
        </w:rPr>
        <w:t>gluten proteins, enzyme therapy, immune modulation</w:t>
      </w:r>
      <w:r w:rsidR="00A1219E">
        <w:rPr>
          <w:rStyle w:val="apple-style-span"/>
          <w:color w:val="000000"/>
          <w:sz w:val="20"/>
          <w:szCs w:val="20"/>
        </w:rPr>
        <w:t>,</w:t>
      </w:r>
      <w:r w:rsidR="00346EB8">
        <w:rPr>
          <w:rStyle w:val="apple-style-span"/>
          <w:color w:val="000000"/>
          <w:sz w:val="20"/>
          <w:szCs w:val="20"/>
        </w:rPr>
        <w:t xml:space="preserve"> and induction of </w:t>
      </w:r>
      <w:r w:rsidR="003F6B00">
        <w:rPr>
          <w:rStyle w:val="apple-style-span"/>
          <w:color w:val="000000"/>
          <w:sz w:val="20"/>
          <w:szCs w:val="20"/>
        </w:rPr>
        <w:t xml:space="preserve">oral </w:t>
      </w:r>
      <w:r w:rsidR="00346EB8">
        <w:rPr>
          <w:rStyle w:val="apple-style-span"/>
          <w:color w:val="000000"/>
          <w:sz w:val="20"/>
          <w:szCs w:val="20"/>
        </w:rPr>
        <w:t>tolerance to gluten.</w:t>
      </w:r>
    </w:p>
    <w:p w:rsidR="001E52DA" w:rsidRPr="003F6B00" w:rsidRDefault="001E52DA" w:rsidP="00BC7363">
      <w:pPr>
        <w:framePr w:w="9962" w:h="6121" w:hRule="exact" w:vSpace="62" w:wrap="around" w:vAnchor="page" w:hAnchor="page" w:x="1006" w:y="1156"/>
        <w:pBdr>
          <w:bottom w:val="single" w:sz="18" w:space="1" w:color="auto"/>
        </w:pBdr>
        <w:jc w:val="both"/>
        <w:rPr>
          <w:sz w:val="20"/>
          <w:szCs w:val="20"/>
        </w:rPr>
      </w:pPr>
    </w:p>
    <w:p w:rsidR="002045A6" w:rsidRPr="00A21A99" w:rsidRDefault="002045A6" w:rsidP="00BC7363">
      <w:pPr>
        <w:framePr w:w="9962" w:h="6121" w:hRule="exact" w:vSpace="62" w:wrap="around" w:vAnchor="page" w:hAnchor="page" w:x="1006" w:y="1156"/>
        <w:pBdr>
          <w:bottom w:val="single" w:sz="18" w:space="1" w:color="auto"/>
        </w:pBdr>
        <w:jc w:val="both"/>
        <w:rPr>
          <w:sz w:val="20"/>
          <w:szCs w:val="20"/>
        </w:rPr>
      </w:pPr>
      <w:r w:rsidRPr="00A21A99">
        <w:rPr>
          <w:b/>
          <w:sz w:val="20"/>
          <w:szCs w:val="20"/>
        </w:rPr>
        <w:t>Keywords</w:t>
      </w:r>
      <w:r w:rsidRPr="00A21A99">
        <w:rPr>
          <w:sz w:val="20"/>
          <w:szCs w:val="20"/>
        </w:rPr>
        <w:t xml:space="preserve">: </w:t>
      </w:r>
      <w:r w:rsidR="0076030A">
        <w:rPr>
          <w:sz w:val="20"/>
          <w:szCs w:val="20"/>
        </w:rPr>
        <w:t xml:space="preserve">celiac disease, epidemiology, </w:t>
      </w:r>
      <w:r w:rsidR="00A32EE7">
        <w:rPr>
          <w:sz w:val="20"/>
          <w:szCs w:val="20"/>
        </w:rPr>
        <w:t xml:space="preserve">pathogenesis, </w:t>
      </w:r>
      <w:r w:rsidR="0076030A">
        <w:rPr>
          <w:sz w:val="20"/>
          <w:szCs w:val="20"/>
        </w:rPr>
        <w:t>gluten-free diet</w:t>
      </w:r>
    </w:p>
    <w:p w:rsidR="00A1230C" w:rsidRPr="00C47A5B" w:rsidRDefault="00AC2CEB" w:rsidP="00D244DB">
      <w:pPr>
        <w:pStyle w:val="sta"/>
        <w:tabs>
          <w:tab w:val="clear" w:pos="113"/>
        </w:tabs>
        <w:outlineLvl w:val="0"/>
        <w:rPr>
          <w:rFonts w:ascii="Times New Roman" w:hAnsi="Times New Roman"/>
        </w:rPr>
      </w:pPr>
      <w:r>
        <w:rPr>
          <w:rFonts w:ascii="Times New Roman" w:hAnsi="Times New Roman"/>
          <w:lang w:val="sk-SK"/>
        </w:rPr>
        <w:lastRenderedPageBreak/>
        <w:t>ÚVOD</w:t>
      </w:r>
    </w:p>
    <w:p w:rsidR="002158E6" w:rsidRDefault="00832289" w:rsidP="00A1230C">
      <w:pPr>
        <w:pStyle w:val="PotText"/>
        <w:rPr>
          <w:lang w:val="sk-SK"/>
        </w:rPr>
      </w:pPr>
      <w:r w:rsidRPr="00AC2CEB">
        <w:rPr>
          <w:lang w:val="sk-SK"/>
        </w:rPr>
        <w:tab/>
      </w:r>
      <w:r w:rsidR="002416EB">
        <w:rPr>
          <w:lang w:val="sk-SK"/>
        </w:rPr>
        <w:t>Slovo celiakia (iné názvy</w:t>
      </w:r>
      <w:r w:rsidR="00813831">
        <w:rPr>
          <w:lang w:val="sk-SK"/>
        </w:rPr>
        <w:t>:</w:t>
      </w:r>
      <w:r w:rsidR="002416EB">
        <w:rPr>
          <w:lang w:val="sk-SK"/>
        </w:rPr>
        <w:t xml:space="preserve"> primárny malabsorpčný syndróm, gluténová enteropatia, idiopatická steatorea, netropická sprue, Herterova-Heubnerova choroba, intestinálny infantilizmus) pochádza z gréckeho slova koiliakos, t.j. trpiaci črevnými ťažkostiami </w:t>
      </w:r>
      <w:r w:rsidR="002416EB" w:rsidRPr="002416EB">
        <w:rPr>
          <w:b/>
          <w:lang w:val="sk-SK"/>
        </w:rPr>
        <w:t>(Svačina, Bretšnajdrová, 2008).</w:t>
      </w:r>
      <w:r w:rsidR="0040281E">
        <w:rPr>
          <w:lang w:val="sk-SK"/>
        </w:rPr>
        <w:t xml:space="preserve"> Ide o zápalové </w:t>
      </w:r>
      <w:r w:rsidR="002416EB">
        <w:rPr>
          <w:lang w:val="sk-SK"/>
        </w:rPr>
        <w:t>autoimunitné ochorenie tráviaceho traktu</w:t>
      </w:r>
      <w:r w:rsidR="0040281E">
        <w:rPr>
          <w:lang w:val="sk-SK"/>
        </w:rPr>
        <w:t xml:space="preserve">, ktoré postihuje najmä sliznicu proximálnych častí tenkého čreva. </w:t>
      </w:r>
      <w:r w:rsidR="00527F0B">
        <w:rPr>
          <w:lang w:val="sk-SK"/>
        </w:rPr>
        <w:t xml:space="preserve">V ťažkých prípadoch sa lézie šíria až do ilea, ale boli pozorované aj abnormality rektálnej mukózy </w:t>
      </w:r>
      <w:r w:rsidR="00527F0B" w:rsidRPr="00527F0B">
        <w:rPr>
          <w:b/>
          <w:lang w:val="sk-SK"/>
        </w:rPr>
        <w:t xml:space="preserve">(Cicilitira </w:t>
      </w:r>
      <w:r w:rsidR="005A5D18">
        <w:rPr>
          <w:b/>
          <w:lang w:val="sk-SK"/>
        </w:rPr>
        <w:t>et al</w:t>
      </w:r>
      <w:r w:rsidR="00527F0B" w:rsidRPr="00527F0B">
        <w:rPr>
          <w:b/>
          <w:lang w:val="sk-SK"/>
        </w:rPr>
        <w:t>., 2005</w:t>
      </w:r>
      <w:r w:rsidR="00C552D0">
        <w:rPr>
          <w:b/>
          <w:lang w:val="sk-SK"/>
        </w:rPr>
        <w:t>a</w:t>
      </w:r>
      <w:r w:rsidR="00527F0B" w:rsidRPr="00527F0B">
        <w:rPr>
          <w:b/>
          <w:lang w:val="sk-SK"/>
        </w:rPr>
        <w:t>).</w:t>
      </w:r>
      <w:r w:rsidR="00527F0B">
        <w:rPr>
          <w:lang w:val="sk-SK"/>
        </w:rPr>
        <w:t xml:space="preserve"> </w:t>
      </w:r>
    </w:p>
    <w:p w:rsidR="00284B2E" w:rsidRDefault="002158E6" w:rsidP="00A1230C">
      <w:pPr>
        <w:pStyle w:val="PotText"/>
        <w:rPr>
          <w:lang w:val="sk-SK"/>
        </w:rPr>
      </w:pPr>
      <w:r>
        <w:rPr>
          <w:lang w:val="sk-SK"/>
        </w:rPr>
        <w:tab/>
      </w:r>
      <w:r w:rsidR="00527F0B">
        <w:rPr>
          <w:lang w:val="sk-SK"/>
        </w:rPr>
        <w:t xml:space="preserve">Celiakia sa vyskytuje u geneticky predisponovaných </w:t>
      </w:r>
      <w:r w:rsidR="00D244DB">
        <w:rPr>
          <w:lang w:val="sk-SK"/>
        </w:rPr>
        <w:t>jedincov</w:t>
      </w:r>
      <w:r w:rsidR="00527F0B">
        <w:rPr>
          <w:lang w:val="sk-SK"/>
        </w:rPr>
        <w:t>, ktorí konzumujú potraviny obsahujúce lepok (glutén). Proteíny lepku, prolamíny a</w:t>
      </w:r>
      <w:r w:rsidR="00CD61C6">
        <w:rPr>
          <w:lang w:val="sk-SK"/>
        </w:rPr>
        <w:t> </w:t>
      </w:r>
      <w:r w:rsidR="00527F0B">
        <w:rPr>
          <w:lang w:val="sk-SK"/>
        </w:rPr>
        <w:t>gluteníny</w:t>
      </w:r>
      <w:r w:rsidR="00CD61C6">
        <w:rPr>
          <w:lang w:val="sk-SK"/>
        </w:rPr>
        <w:t xml:space="preserve">, </w:t>
      </w:r>
      <w:r w:rsidR="00BB3C57">
        <w:rPr>
          <w:lang w:val="sk-SK"/>
        </w:rPr>
        <w:t>ktoré možu vyvol</w:t>
      </w:r>
      <w:r w:rsidR="00CD61C6">
        <w:rPr>
          <w:lang w:val="sk-SK"/>
        </w:rPr>
        <w:t>ať zápalové zmeny tenkého čreva</w:t>
      </w:r>
      <w:r w:rsidR="00284B2E">
        <w:rPr>
          <w:lang w:val="sk-SK"/>
        </w:rPr>
        <w:t>,</w:t>
      </w:r>
      <w:r w:rsidR="00BB3C57">
        <w:rPr>
          <w:lang w:val="sk-SK"/>
        </w:rPr>
        <w:t xml:space="preserve"> sa v</w:t>
      </w:r>
      <w:r w:rsidR="00527F0B">
        <w:rPr>
          <w:lang w:val="sk-SK"/>
        </w:rPr>
        <w:t>yskytujú v zrnách pšenice, jačmeňa, raže,</w:t>
      </w:r>
      <w:r w:rsidR="00CD61C6">
        <w:rPr>
          <w:lang w:val="sk-SK"/>
        </w:rPr>
        <w:t xml:space="preserve"> ovsa a pohánky </w:t>
      </w:r>
      <w:r w:rsidR="00CD61C6" w:rsidRPr="00CD61C6">
        <w:rPr>
          <w:b/>
          <w:lang w:val="sk-SK"/>
        </w:rPr>
        <w:t xml:space="preserve">(Pekárková </w:t>
      </w:r>
      <w:r w:rsidR="005A5D18">
        <w:rPr>
          <w:b/>
          <w:lang w:val="sk-SK"/>
        </w:rPr>
        <w:t>et al</w:t>
      </w:r>
      <w:r w:rsidR="00CD61C6" w:rsidRPr="00CD61C6">
        <w:rPr>
          <w:b/>
          <w:lang w:val="sk-SK"/>
        </w:rPr>
        <w:t>., 2009</w:t>
      </w:r>
      <w:r w:rsidR="007863F4">
        <w:rPr>
          <w:b/>
          <w:lang w:val="sk-SK"/>
        </w:rPr>
        <w:t xml:space="preserve">; </w:t>
      </w:r>
      <w:r w:rsidR="00795C06">
        <w:rPr>
          <w:b/>
          <w:lang w:val="sk-SK"/>
        </w:rPr>
        <w:t>Kanerva et al., 2012</w:t>
      </w:r>
      <w:r w:rsidR="00CD61C6" w:rsidRPr="00CD61C6">
        <w:rPr>
          <w:b/>
          <w:lang w:val="sk-SK"/>
        </w:rPr>
        <w:t>).</w:t>
      </w:r>
      <w:r w:rsidR="00527F0B">
        <w:rPr>
          <w:lang w:val="sk-SK"/>
        </w:rPr>
        <w:t xml:space="preserve"> </w:t>
      </w:r>
    </w:p>
    <w:p w:rsidR="00CB4306" w:rsidRPr="002158E6" w:rsidRDefault="00284B2E" w:rsidP="00A1230C">
      <w:pPr>
        <w:pStyle w:val="PotText"/>
        <w:rPr>
          <w:b/>
          <w:lang w:val="sk-SK"/>
        </w:rPr>
      </w:pPr>
      <w:r>
        <w:rPr>
          <w:lang w:val="sk-SK"/>
        </w:rPr>
        <w:tab/>
      </w:r>
      <w:r w:rsidR="0040281E">
        <w:rPr>
          <w:lang w:val="sk-SK"/>
        </w:rPr>
        <w:t xml:space="preserve">Pri </w:t>
      </w:r>
      <w:r w:rsidR="00BB3C57">
        <w:rPr>
          <w:lang w:val="sk-SK"/>
        </w:rPr>
        <w:t xml:space="preserve">celiakii </w:t>
      </w:r>
      <w:r w:rsidR="0040281E">
        <w:rPr>
          <w:lang w:val="sk-SK"/>
        </w:rPr>
        <w:t xml:space="preserve">dochádza </w:t>
      </w:r>
      <w:r w:rsidR="00CB4306">
        <w:rPr>
          <w:lang w:val="sk-SK"/>
        </w:rPr>
        <w:t>k poruche absorpcie živín z</w:t>
      </w:r>
      <w:r w:rsidR="00CD61C6">
        <w:rPr>
          <w:lang w:val="sk-SK"/>
        </w:rPr>
        <w:t> </w:t>
      </w:r>
      <w:r w:rsidR="00CB4306">
        <w:rPr>
          <w:lang w:val="sk-SK"/>
        </w:rPr>
        <w:t>potravy</w:t>
      </w:r>
      <w:r w:rsidR="00CD61C6">
        <w:rPr>
          <w:lang w:val="sk-SK"/>
        </w:rPr>
        <w:t>.</w:t>
      </w:r>
      <w:r w:rsidR="00CB4306">
        <w:rPr>
          <w:lang w:val="sk-SK"/>
        </w:rPr>
        <w:t xml:space="preserve"> D</w:t>
      </w:r>
      <w:r w:rsidR="00813831">
        <w:rPr>
          <w:lang w:val="sk-SK"/>
        </w:rPr>
        <w:t>ô</w:t>
      </w:r>
      <w:r w:rsidR="00CB4306">
        <w:rPr>
          <w:lang w:val="sk-SK"/>
        </w:rPr>
        <w:t>sledkom sú chronické hnačky, podvýživ</w:t>
      </w:r>
      <w:r w:rsidR="00813831">
        <w:rPr>
          <w:lang w:val="sk-SK"/>
        </w:rPr>
        <w:t>a</w:t>
      </w:r>
      <w:r w:rsidR="00CB4306">
        <w:rPr>
          <w:lang w:val="sk-SK"/>
        </w:rPr>
        <w:t>, hlavne u vitamínov skupiny B (kyselina listová, kobalamíny) a minerálnych látok (najmä Ca a Fe)</w:t>
      </w:r>
      <w:r w:rsidR="00BB3C57">
        <w:rPr>
          <w:lang w:val="sk-SK"/>
        </w:rPr>
        <w:t>. Ochorenie je často spojené s inými autoimunitnými ochoreniami</w:t>
      </w:r>
      <w:r w:rsidR="002158E6">
        <w:rPr>
          <w:lang w:val="sk-SK"/>
        </w:rPr>
        <w:t>, ale aj s osteoporózou, zníženou fertilitou a Downovým syndrómom</w:t>
      </w:r>
      <w:r w:rsidR="00BB3C57">
        <w:rPr>
          <w:lang w:val="sk-SK"/>
        </w:rPr>
        <w:t xml:space="preserve"> </w:t>
      </w:r>
      <w:r w:rsidR="00CD61C6" w:rsidRPr="005A6C6B">
        <w:rPr>
          <w:b/>
          <w:lang w:val="sk-SK"/>
        </w:rPr>
        <w:t xml:space="preserve">(Howdle, 2003, Stachová </w:t>
      </w:r>
      <w:r w:rsidR="005A5D18">
        <w:rPr>
          <w:b/>
          <w:lang w:val="sk-SK"/>
        </w:rPr>
        <w:t>et al</w:t>
      </w:r>
      <w:r w:rsidR="00CD61C6" w:rsidRPr="005A6C6B">
        <w:rPr>
          <w:b/>
          <w:lang w:val="sk-SK"/>
        </w:rPr>
        <w:t>., 2009</w:t>
      </w:r>
      <w:r w:rsidR="00BB3C57">
        <w:rPr>
          <w:b/>
          <w:lang w:val="sk-SK"/>
        </w:rPr>
        <w:t xml:space="preserve">; </w:t>
      </w:r>
      <w:r w:rsidR="00CB4306" w:rsidRPr="005A6C6B">
        <w:rPr>
          <w:b/>
          <w:lang w:val="sk-SK"/>
        </w:rPr>
        <w:t>Pá</w:t>
      </w:r>
      <w:r w:rsidR="00BB3C57">
        <w:rPr>
          <w:b/>
          <w:lang w:val="sk-SK"/>
        </w:rPr>
        <w:t>v</w:t>
      </w:r>
      <w:r w:rsidR="005D10A5">
        <w:rPr>
          <w:b/>
          <w:lang w:val="sk-SK"/>
        </w:rPr>
        <w:t>,</w:t>
      </w:r>
      <w:r w:rsidR="00BB3C57">
        <w:rPr>
          <w:b/>
          <w:lang w:val="sk-SK"/>
        </w:rPr>
        <w:t xml:space="preserve"> 2006</w:t>
      </w:r>
      <w:r w:rsidR="00CB4306" w:rsidRPr="005A6C6B">
        <w:rPr>
          <w:b/>
          <w:lang w:val="sk-SK"/>
        </w:rPr>
        <w:t>).</w:t>
      </w:r>
      <w:r w:rsidR="00BB3C57">
        <w:rPr>
          <w:b/>
          <w:lang w:val="sk-SK"/>
        </w:rPr>
        <w:t xml:space="preserve">  </w:t>
      </w:r>
      <w:r w:rsidR="00BB3C57">
        <w:rPr>
          <w:lang w:val="sk-SK"/>
        </w:rPr>
        <w:t xml:space="preserve">Pri neliečenej celiakii je zvýšené riziko </w:t>
      </w:r>
      <w:r w:rsidR="002158E6">
        <w:rPr>
          <w:lang w:val="sk-SK"/>
        </w:rPr>
        <w:t xml:space="preserve">malígnych </w:t>
      </w:r>
      <w:r w:rsidR="00BB3C57">
        <w:rPr>
          <w:lang w:val="sk-SK"/>
        </w:rPr>
        <w:t xml:space="preserve">ochorení </w:t>
      </w:r>
      <w:r w:rsidR="005A5D18">
        <w:rPr>
          <w:b/>
          <w:lang w:val="sk-SK"/>
        </w:rPr>
        <w:t>(Páv, 2006; Presutti et al</w:t>
      </w:r>
      <w:r w:rsidR="00BB3C57" w:rsidRPr="002158E6">
        <w:rPr>
          <w:b/>
          <w:lang w:val="sk-SK"/>
        </w:rPr>
        <w:t xml:space="preserve">. 2007; Pekárková </w:t>
      </w:r>
      <w:r w:rsidR="005A5D18">
        <w:rPr>
          <w:b/>
          <w:lang w:val="sk-SK"/>
        </w:rPr>
        <w:t>et al</w:t>
      </w:r>
      <w:r w:rsidR="00BB3C57" w:rsidRPr="002158E6">
        <w:rPr>
          <w:b/>
          <w:lang w:val="sk-SK"/>
        </w:rPr>
        <w:t>., 2009).</w:t>
      </w:r>
    </w:p>
    <w:p w:rsidR="005D10A5" w:rsidRPr="005D10A5" w:rsidRDefault="00AF3296" w:rsidP="00A1230C">
      <w:pPr>
        <w:pStyle w:val="PotText"/>
        <w:rPr>
          <w:b/>
          <w:lang w:val="sk-SK"/>
        </w:rPr>
      </w:pPr>
      <w:r>
        <w:rPr>
          <w:lang w:val="sk-SK"/>
        </w:rPr>
        <w:tab/>
      </w:r>
      <w:r w:rsidR="002158E6">
        <w:rPr>
          <w:lang w:val="sk-SK"/>
        </w:rPr>
        <w:t xml:space="preserve">Ochorenie </w:t>
      </w:r>
      <w:r w:rsidR="00CB4306">
        <w:rPr>
          <w:lang w:val="sk-SK"/>
        </w:rPr>
        <w:t xml:space="preserve">sa vyskytuje </w:t>
      </w:r>
      <w:r w:rsidR="005D10A5">
        <w:rPr>
          <w:lang w:val="sk-SK"/>
        </w:rPr>
        <w:t xml:space="preserve">celosvetovo najmä u príslušníkov kaukazskej rasy, </w:t>
      </w:r>
      <w:r w:rsidR="00CB4306">
        <w:rPr>
          <w:lang w:val="sk-SK"/>
        </w:rPr>
        <w:t xml:space="preserve">u oboch pohlaví a v každom veku. </w:t>
      </w:r>
      <w:r w:rsidR="005D10A5">
        <w:rPr>
          <w:lang w:val="sk-SK"/>
        </w:rPr>
        <w:t>Mnohí pacienti sú asymptomatickí a o ochorení nevedia</w:t>
      </w:r>
      <w:r w:rsidR="0038074E">
        <w:rPr>
          <w:lang w:val="sk-SK"/>
        </w:rPr>
        <w:t>. P</w:t>
      </w:r>
      <w:r w:rsidR="00284B2E">
        <w:rPr>
          <w:lang w:val="sk-SK"/>
        </w:rPr>
        <w:t>odľa odhadov,</w:t>
      </w:r>
      <w:r w:rsidR="005D10A5">
        <w:rPr>
          <w:lang w:val="sk-SK"/>
        </w:rPr>
        <w:t xml:space="preserve"> n</w:t>
      </w:r>
      <w:r w:rsidR="00CB4306">
        <w:rPr>
          <w:lang w:val="sk-SK"/>
        </w:rPr>
        <w:t>a jedného diagnostikovaného pacienta pripadá 7-10 pacientov s nepoznaným ochorením</w:t>
      </w:r>
      <w:r w:rsidR="005D10A5">
        <w:rPr>
          <w:lang w:val="sk-SK"/>
        </w:rPr>
        <w:t xml:space="preserve"> </w:t>
      </w:r>
      <w:r w:rsidR="005D10A5" w:rsidRPr="005D10A5">
        <w:rPr>
          <w:b/>
          <w:lang w:val="sk-SK"/>
        </w:rPr>
        <w:t xml:space="preserve">(Ciclitira </w:t>
      </w:r>
      <w:r w:rsidR="005A5D18">
        <w:rPr>
          <w:b/>
          <w:lang w:val="sk-SK"/>
        </w:rPr>
        <w:t>et al.</w:t>
      </w:r>
      <w:r w:rsidR="005D10A5" w:rsidRPr="005D10A5">
        <w:rPr>
          <w:b/>
          <w:lang w:val="sk-SK"/>
        </w:rPr>
        <w:t>, 2005</w:t>
      </w:r>
      <w:r w:rsidR="00C552D0">
        <w:rPr>
          <w:b/>
          <w:lang w:val="sk-SK"/>
        </w:rPr>
        <w:t>a</w:t>
      </w:r>
      <w:r w:rsidR="005D10A5" w:rsidRPr="005D10A5">
        <w:rPr>
          <w:b/>
          <w:lang w:val="sk-SK"/>
        </w:rPr>
        <w:t xml:space="preserve">; Presutti </w:t>
      </w:r>
      <w:r w:rsidR="005A5D18">
        <w:rPr>
          <w:b/>
          <w:lang w:val="sk-SK"/>
        </w:rPr>
        <w:t>et al</w:t>
      </w:r>
      <w:r w:rsidR="005D10A5" w:rsidRPr="005D10A5">
        <w:rPr>
          <w:b/>
          <w:lang w:val="sk-SK"/>
        </w:rPr>
        <w:t>., 2007).</w:t>
      </w:r>
    </w:p>
    <w:p w:rsidR="002158E6" w:rsidRPr="005D10A5" w:rsidRDefault="005D10A5" w:rsidP="00A1230C">
      <w:pPr>
        <w:pStyle w:val="PotText"/>
        <w:rPr>
          <w:b/>
          <w:lang w:val="sk-SK"/>
        </w:rPr>
      </w:pPr>
      <w:r>
        <w:rPr>
          <w:lang w:val="sk-SK"/>
        </w:rPr>
        <w:tab/>
      </w:r>
      <w:r w:rsidR="002158E6">
        <w:rPr>
          <w:lang w:val="sk-SK"/>
        </w:rPr>
        <w:t>Liečba celiakie spočíva v doživotnom bezlepkovom diétnom režime a prípadne</w:t>
      </w:r>
      <w:r>
        <w:rPr>
          <w:lang w:val="sk-SK"/>
        </w:rPr>
        <w:t>j</w:t>
      </w:r>
      <w:r w:rsidR="002158E6">
        <w:rPr>
          <w:lang w:val="sk-SK"/>
        </w:rPr>
        <w:t xml:space="preserve"> substitúcii</w:t>
      </w:r>
      <w:r>
        <w:rPr>
          <w:lang w:val="sk-SK"/>
        </w:rPr>
        <w:t xml:space="preserve"> chýbajúcich nutričných látok </w:t>
      </w:r>
      <w:r w:rsidRPr="005D10A5">
        <w:rPr>
          <w:b/>
          <w:lang w:val="sk-SK"/>
        </w:rPr>
        <w:t xml:space="preserve">(Pekárková </w:t>
      </w:r>
      <w:r w:rsidR="005A5D18">
        <w:rPr>
          <w:b/>
          <w:lang w:val="sk-SK"/>
        </w:rPr>
        <w:t>et al</w:t>
      </w:r>
      <w:r w:rsidRPr="005D10A5">
        <w:rPr>
          <w:b/>
          <w:lang w:val="sk-SK"/>
        </w:rPr>
        <w:t>., 2009; Páv, 2006).</w:t>
      </w:r>
    </w:p>
    <w:p w:rsidR="00266DAC" w:rsidRPr="00266DAC" w:rsidRDefault="00266DAC" w:rsidP="00D244DB">
      <w:pPr>
        <w:pStyle w:val="PotText"/>
        <w:outlineLvl w:val="0"/>
        <w:rPr>
          <w:b/>
          <w:sz w:val="22"/>
          <w:szCs w:val="22"/>
          <w:lang w:val="sk-SK"/>
        </w:rPr>
      </w:pPr>
      <w:r w:rsidRPr="00266DAC">
        <w:rPr>
          <w:b/>
          <w:sz w:val="22"/>
          <w:szCs w:val="22"/>
          <w:lang w:val="sk-SK"/>
        </w:rPr>
        <w:lastRenderedPageBreak/>
        <w:t>HISTÓRIA CELIAKIE</w:t>
      </w:r>
    </w:p>
    <w:p w:rsidR="00721A95" w:rsidRDefault="00266DAC" w:rsidP="00A1230C">
      <w:pPr>
        <w:pStyle w:val="PotText"/>
        <w:rPr>
          <w:lang w:val="sk-SK"/>
        </w:rPr>
      </w:pPr>
      <w:r>
        <w:rPr>
          <w:lang w:val="sk-SK"/>
        </w:rPr>
        <w:tab/>
        <w:t xml:space="preserve">Prvý </w:t>
      </w:r>
      <w:r w:rsidR="00CE5231">
        <w:rPr>
          <w:lang w:val="sk-SK"/>
        </w:rPr>
        <w:t>p</w:t>
      </w:r>
      <w:r w:rsidR="00A5220A">
        <w:rPr>
          <w:lang w:val="sk-SK"/>
        </w:rPr>
        <w:t>opis celiakie pochádza pravdepodobne z 2. storočia p</w:t>
      </w:r>
      <w:r w:rsidR="00813831">
        <w:rPr>
          <w:lang w:val="sk-SK"/>
        </w:rPr>
        <w:t>red naším letopočtom</w:t>
      </w:r>
      <w:r w:rsidR="00A5220A">
        <w:rPr>
          <w:lang w:val="sk-SK"/>
        </w:rPr>
        <w:t>, kedy Areta</w:t>
      </w:r>
      <w:r w:rsidR="00CE5231">
        <w:rPr>
          <w:lang w:val="sk-SK"/>
        </w:rPr>
        <w:t>e</w:t>
      </w:r>
      <w:r w:rsidR="00A5220A">
        <w:rPr>
          <w:lang w:val="sk-SK"/>
        </w:rPr>
        <w:t xml:space="preserve">us z Cappadocie popísal pacienta s neprospievaním a chronickými hnačkami. </w:t>
      </w:r>
      <w:r w:rsidR="008E266D">
        <w:rPr>
          <w:lang w:val="sk-SK"/>
        </w:rPr>
        <w:t xml:space="preserve">Podrobnejšie popísal chorobu </w:t>
      </w:r>
      <w:r w:rsidR="008D7965">
        <w:rPr>
          <w:lang w:val="sk-SK"/>
        </w:rPr>
        <w:t xml:space="preserve">v roku 1887 </w:t>
      </w:r>
      <w:r w:rsidR="008E266D">
        <w:rPr>
          <w:lang w:val="sk-SK"/>
        </w:rPr>
        <w:t>Samuel</w:t>
      </w:r>
      <w:r w:rsidR="00A5220A">
        <w:rPr>
          <w:lang w:val="sk-SK"/>
        </w:rPr>
        <w:t xml:space="preserve"> Gee, pediat</w:t>
      </w:r>
      <w:r w:rsidR="008E266D">
        <w:rPr>
          <w:lang w:val="sk-SK"/>
        </w:rPr>
        <w:t>er z</w:t>
      </w:r>
      <w:r w:rsidR="00A5220A">
        <w:rPr>
          <w:lang w:val="sk-SK"/>
        </w:rPr>
        <w:t xml:space="preserve"> londýnskej nemocnice Sv. Bartolomeja, ktorý ako prvý </w:t>
      </w:r>
      <w:r w:rsidR="008E266D">
        <w:rPr>
          <w:lang w:val="sk-SK"/>
        </w:rPr>
        <w:t xml:space="preserve">uviedol </w:t>
      </w:r>
      <w:r w:rsidR="00A5220A">
        <w:rPr>
          <w:lang w:val="sk-SK"/>
        </w:rPr>
        <w:t>možnosti ovplyvnenia ochorenia stravou</w:t>
      </w:r>
      <w:r w:rsidR="008E266D">
        <w:rPr>
          <w:lang w:val="sk-SK"/>
        </w:rPr>
        <w:t xml:space="preserve">. </w:t>
      </w:r>
      <w:r w:rsidR="00D65801">
        <w:rPr>
          <w:lang w:val="sk-SK"/>
        </w:rPr>
        <w:t xml:space="preserve">V roku 1924 </w:t>
      </w:r>
      <w:r w:rsidR="008D7965">
        <w:rPr>
          <w:lang w:val="sk-SK"/>
        </w:rPr>
        <w:t xml:space="preserve">zaviedol </w:t>
      </w:r>
      <w:r w:rsidR="00D65801">
        <w:rPr>
          <w:lang w:val="sk-SK"/>
        </w:rPr>
        <w:t xml:space="preserve">Haas </w:t>
      </w:r>
      <w:r w:rsidR="008D7965">
        <w:rPr>
          <w:lang w:val="sk-SK"/>
        </w:rPr>
        <w:t xml:space="preserve">do liečby celiakie </w:t>
      </w:r>
      <w:r w:rsidR="00D65801">
        <w:rPr>
          <w:lang w:val="sk-SK"/>
        </w:rPr>
        <w:t xml:space="preserve">u detí </w:t>
      </w:r>
      <w:r w:rsidR="008D7965">
        <w:rPr>
          <w:lang w:val="sk-SK"/>
        </w:rPr>
        <w:t>diétu, ktorá sa používala až do 50. rokov 20. storočia</w:t>
      </w:r>
      <w:r w:rsidR="00A5220A">
        <w:rPr>
          <w:lang w:val="sk-SK"/>
        </w:rPr>
        <w:t xml:space="preserve"> </w:t>
      </w:r>
      <w:r w:rsidR="00A5220A" w:rsidRPr="005A6C6B">
        <w:rPr>
          <w:b/>
          <w:lang w:val="sk-SK"/>
        </w:rPr>
        <w:t>(</w:t>
      </w:r>
      <w:r w:rsidR="008D7965">
        <w:rPr>
          <w:b/>
          <w:lang w:val="sk-SK"/>
        </w:rPr>
        <w:t xml:space="preserve">Ciclitira </w:t>
      </w:r>
      <w:r w:rsidR="005A5D18">
        <w:rPr>
          <w:b/>
          <w:lang w:val="sk-SK"/>
        </w:rPr>
        <w:t>et al</w:t>
      </w:r>
      <w:r w:rsidR="008D7965">
        <w:rPr>
          <w:b/>
          <w:lang w:val="sk-SK"/>
        </w:rPr>
        <w:t>.,</w:t>
      </w:r>
      <w:r w:rsidR="00A5220A" w:rsidRPr="005A6C6B">
        <w:rPr>
          <w:b/>
          <w:lang w:val="sk-SK"/>
        </w:rPr>
        <w:t xml:space="preserve"> 200</w:t>
      </w:r>
      <w:r w:rsidR="008D7965">
        <w:rPr>
          <w:b/>
          <w:lang w:val="sk-SK"/>
        </w:rPr>
        <w:t>5</w:t>
      </w:r>
      <w:r w:rsidR="00C552D0">
        <w:rPr>
          <w:b/>
          <w:lang w:val="sk-SK"/>
        </w:rPr>
        <w:t>a</w:t>
      </w:r>
      <w:r w:rsidR="00A5220A" w:rsidRPr="005A6C6B">
        <w:rPr>
          <w:b/>
          <w:lang w:val="sk-SK"/>
        </w:rPr>
        <w:t>; Ciclitira, Moodie, 2003).</w:t>
      </w:r>
      <w:r w:rsidR="00A5220A">
        <w:rPr>
          <w:lang w:val="sk-SK"/>
        </w:rPr>
        <w:t xml:space="preserve"> </w:t>
      </w:r>
    </w:p>
    <w:p w:rsidR="00ED2619" w:rsidRDefault="00721A95" w:rsidP="002C18E2">
      <w:pPr>
        <w:pStyle w:val="PotText"/>
        <w:rPr>
          <w:lang w:val="sk-SK"/>
        </w:rPr>
      </w:pPr>
      <w:r>
        <w:rPr>
          <w:lang w:val="sk-SK"/>
        </w:rPr>
        <w:tab/>
      </w:r>
      <w:r w:rsidR="00344995">
        <w:rPr>
          <w:lang w:val="sk-SK"/>
        </w:rPr>
        <w:t xml:space="preserve">Príčinný faktor rozvoja </w:t>
      </w:r>
      <w:r w:rsidR="008D7965">
        <w:rPr>
          <w:lang w:val="sk-SK"/>
        </w:rPr>
        <w:t xml:space="preserve">celiakie </w:t>
      </w:r>
      <w:r w:rsidR="00A5220A">
        <w:rPr>
          <w:lang w:val="sk-SK"/>
        </w:rPr>
        <w:t>bol opísaný v roku 1950 pozorovaním zlepšenia stavu detí v Holandsku počas II. svetovej vojny, v čase nedostatku obilnín</w:t>
      </w:r>
      <w:r w:rsidR="00ED2619">
        <w:rPr>
          <w:lang w:val="sk-SK"/>
        </w:rPr>
        <w:t>.</w:t>
      </w:r>
      <w:r w:rsidR="00A5220A">
        <w:rPr>
          <w:lang w:val="sk-SK"/>
        </w:rPr>
        <w:t xml:space="preserve"> </w:t>
      </w:r>
      <w:r>
        <w:rPr>
          <w:lang w:val="sk-SK"/>
        </w:rPr>
        <w:t>Holandský pediater W.K. Dicke vtedy pozoroval zhoršenie zdravotného stavu u celiatických detí po tom, ako požili chlieb. To ho viedlo k záveru, že pšenica je toxická pre pacientov s celiakiou. Dicke aj s</w:t>
      </w:r>
      <w:r w:rsidR="00ED2619">
        <w:rPr>
          <w:lang w:val="sk-SK"/>
        </w:rPr>
        <w:t> </w:t>
      </w:r>
      <w:r>
        <w:rPr>
          <w:lang w:val="sk-SK"/>
        </w:rPr>
        <w:t>kolegami</w:t>
      </w:r>
      <w:r w:rsidR="00ED2619">
        <w:rPr>
          <w:lang w:val="sk-SK"/>
        </w:rPr>
        <w:t xml:space="preserve"> potom  </w:t>
      </w:r>
      <w:r>
        <w:rPr>
          <w:lang w:val="sk-SK"/>
        </w:rPr>
        <w:t>preukázal, že pšeničná múka bola tá nežiadúca zložka stravy a jej toxicita spočívala v</w:t>
      </w:r>
      <w:r w:rsidR="00ED2619">
        <w:rPr>
          <w:lang w:val="sk-SK"/>
        </w:rPr>
        <w:t xml:space="preserve">o frakcii </w:t>
      </w:r>
      <w:r>
        <w:rPr>
          <w:lang w:val="sk-SK"/>
        </w:rPr>
        <w:t xml:space="preserve">lepku </w:t>
      </w:r>
      <w:r w:rsidR="00ED2619">
        <w:rPr>
          <w:b/>
          <w:lang w:val="sk-SK"/>
        </w:rPr>
        <w:t xml:space="preserve">(Rimárová, 2005; Ciclitira </w:t>
      </w:r>
      <w:r w:rsidR="005A5D18">
        <w:rPr>
          <w:b/>
          <w:lang w:val="sk-SK"/>
        </w:rPr>
        <w:t>et al</w:t>
      </w:r>
      <w:r w:rsidR="00ED2619">
        <w:rPr>
          <w:b/>
          <w:lang w:val="sk-SK"/>
        </w:rPr>
        <w:t xml:space="preserve">., </w:t>
      </w:r>
      <w:r w:rsidRPr="002C18E2">
        <w:rPr>
          <w:b/>
          <w:lang w:val="sk-SK"/>
        </w:rPr>
        <w:t>200</w:t>
      </w:r>
      <w:r w:rsidR="00ED2619">
        <w:rPr>
          <w:b/>
          <w:lang w:val="sk-SK"/>
        </w:rPr>
        <w:t>5</w:t>
      </w:r>
      <w:r w:rsidR="00C552D0">
        <w:rPr>
          <w:b/>
          <w:lang w:val="sk-SK"/>
        </w:rPr>
        <w:t>a</w:t>
      </w:r>
      <w:r w:rsidRPr="002C18E2">
        <w:rPr>
          <w:b/>
          <w:lang w:val="sk-SK"/>
        </w:rPr>
        <w:t>).</w:t>
      </w:r>
      <w:r>
        <w:rPr>
          <w:lang w:val="sk-SK"/>
        </w:rPr>
        <w:t xml:space="preserve"> </w:t>
      </w:r>
    </w:p>
    <w:p w:rsidR="00ED2619" w:rsidRDefault="00ED2619" w:rsidP="00ED2619">
      <w:pPr>
        <w:pStyle w:val="PotText"/>
        <w:rPr>
          <w:lang w:val="sk-SK"/>
        </w:rPr>
      </w:pPr>
      <w:r>
        <w:rPr>
          <w:lang w:val="sk-SK"/>
        </w:rPr>
        <w:tab/>
      </w:r>
      <w:r w:rsidR="00721A95">
        <w:rPr>
          <w:lang w:val="sk-SK"/>
        </w:rPr>
        <w:t>Až po II. svetovej vojne Dicke v spolupráci s J.H. van de Kamerom a H.A. Vayersom dokázal, že gliadín, v alkohole rozpustná zložka vo vode nerozpustnej bielkoviny gluténu, je zodpovedná za patologické zmeny črevnej sliznice i za väčšinu klinických prejavov celiakie</w:t>
      </w:r>
      <w:r>
        <w:rPr>
          <w:lang w:val="sk-SK"/>
        </w:rPr>
        <w:t xml:space="preserve"> </w:t>
      </w:r>
      <w:r w:rsidRPr="002C18E2">
        <w:rPr>
          <w:b/>
          <w:lang w:val="sk-SK"/>
        </w:rPr>
        <w:t>(Rimárová, 2005).</w:t>
      </w:r>
    </w:p>
    <w:p w:rsidR="00ED2619" w:rsidRPr="00936E44" w:rsidRDefault="00936E44" w:rsidP="002C18E2">
      <w:pPr>
        <w:pStyle w:val="PotText"/>
        <w:rPr>
          <w:b/>
          <w:lang w:val="sk-SK"/>
        </w:rPr>
      </w:pPr>
      <w:r>
        <w:rPr>
          <w:lang w:val="sk-SK"/>
        </w:rPr>
        <w:tab/>
      </w:r>
      <w:r w:rsidR="00ED2619">
        <w:rPr>
          <w:lang w:val="sk-SK"/>
        </w:rPr>
        <w:t>Histologick</w:t>
      </w:r>
      <w:r w:rsidR="0080572B">
        <w:rPr>
          <w:lang w:val="sk-SK"/>
        </w:rPr>
        <w:t xml:space="preserve">é </w:t>
      </w:r>
      <w:r w:rsidR="00D6037C">
        <w:rPr>
          <w:lang w:val="sk-SK"/>
        </w:rPr>
        <w:t xml:space="preserve">nálezy </w:t>
      </w:r>
      <w:r w:rsidR="0080572B">
        <w:rPr>
          <w:lang w:val="sk-SK"/>
        </w:rPr>
        <w:t xml:space="preserve">v čreve </w:t>
      </w:r>
      <w:r w:rsidR="00ED2619">
        <w:rPr>
          <w:lang w:val="sk-SK"/>
        </w:rPr>
        <w:t>bol</w:t>
      </w:r>
      <w:r w:rsidR="0080572B">
        <w:rPr>
          <w:lang w:val="sk-SK"/>
        </w:rPr>
        <w:t>i popísané</w:t>
      </w:r>
      <w:r w:rsidR="00ED2619">
        <w:rPr>
          <w:lang w:val="sk-SK"/>
        </w:rPr>
        <w:t xml:space="preserve"> pomerne neskoro, najmä kvôli domnienke, že abnormálne zmeny na sliznici pozorované pri pitve boli v dôsledku postmortálnych zmien. V roku 1954 Paulley </w:t>
      </w:r>
      <w:r w:rsidR="00344995">
        <w:rPr>
          <w:lang w:val="sk-SK"/>
        </w:rPr>
        <w:t xml:space="preserve">so spolupracovníkmi </w:t>
      </w:r>
      <w:r w:rsidR="00ED2619">
        <w:rPr>
          <w:lang w:val="sk-SK"/>
        </w:rPr>
        <w:t xml:space="preserve">popísal histológiu sliznice jejuna u celiatického pacienta. Skiner a Royer vyvinuli metódu biopsie duodena </w:t>
      </w:r>
      <w:r w:rsidR="00ED2619" w:rsidRPr="00936E44">
        <w:rPr>
          <w:b/>
          <w:lang w:val="sk-SK"/>
        </w:rPr>
        <w:t xml:space="preserve">(Ciclitira </w:t>
      </w:r>
      <w:r w:rsidR="005A5D18">
        <w:rPr>
          <w:b/>
          <w:lang w:val="sk-SK"/>
        </w:rPr>
        <w:t>et al</w:t>
      </w:r>
      <w:r w:rsidR="00ED2619" w:rsidRPr="00936E44">
        <w:rPr>
          <w:b/>
          <w:lang w:val="sk-SK"/>
        </w:rPr>
        <w:t>., 2005</w:t>
      </w:r>
      <w:r w:rsidR="00C552D0">
        <w:rPr>
          <w:b/>
          <w:lang w:val="sk-SK"/>
        </w:rPr>
        <w:t>a</w:t>
      </w:r>
      <w:r w:rsidR="00ED2619" w:rsidRPr="00936E44">
        <w:rPr>
          <w:b/>
          <w:lang w:val="sk-SK"/>
        </w:rPr>
        <w:t>).</w:t>
      </w:r>
    </w:p>
    <w:p w:rsidR="00936E44" w:rsidRDefault="00936E44" w:rsidP="002C18E2">
      <w:pPr>
        <w:pStyle w:val="PotText"/>
        <w:rPr>
          <w:lang w:val="sk-SK"/>
        </w:rPr>
      </w:pPr>
      <w:r>
        <w:rPr>
          <w:lang w:val="sk-SK"/>
        </w:rPr>
        <w:tab/>
      </w:r>
      <w:r w:rsidR="00721A95">
        <w:rPr>
          <w:lang w:val="sk-SK"/>
        </w:rPr>
        <w:t xml:space="preserve">Aj keď </w:t>
      </w:r>
      <w:r>
        <w:rPr>
          <w:lang w:val="sk-SK"/>
        </w:rPr>
        <w:t xml:space="preserve">tieto </w:t>
      </w:r>
      <w:r w:rsidR="00721A95">
        <w:rPr>
          <w:lang w:val="sk-SK"/>
        </w:rPr>
        <w:t>objav</w:t>
      </w:r>
      <w:r>
        <w:rPr>
          <w:lang w:val="sk-SK"/>
        </w:rPr>
        <w:t>y</w:t>
      </w:r>
      <w:r w:rsidR="00721A95">
        <w:rPr>
          <w:lang w:val="sk-SK"/>
        </w:rPr>
        <w:t xml:space="preserve"> dramaticky zlepšil</w:t>
      </w:r>
      <w:r>
        <w:rPr>
          <w:lang w:val="sk-SK"/>
        </w:rPr>
        <w:t>i</w:t>
      </w:r>
      <w:r w:rsidR="00721A95">
        <w:rPr>
          <w:lang w:val="sk-SK"/>
        </w:rPr>
        <w:t xml:space="preserve"> </w:t>
      </w:r>
      <w:r>
        <w:rPr>
          <w:lang w:val="sk-SK"/>
        </w:rPr>
        <w:t xml:space="preserve">diagnostiku a </w:t>
      </w:r>
      <w:r w:rsidR="00721A95">
        <w:rPr>
          <w:lang w:val="sk-SK"/>
        </w:rPr>
        <w:t xml:space="preserve">prognózu ochorenia, zostáva okolo </w:t>
      </w:r>
      <w:r>
        <w:rPr>
          <w:lang w:val="sk-SK"/>
        </w:rPr>
        <w:t xml:space="preserve">celiakie </w:t>
      </w:r>
      <w:r w:rsidR="00284B2E">
        <w:rPr>
          <w:lang w:val="sk-SK"/>
        </w:rPr>
        <w:t xml:space="preserve">stále </w:t>
      </w:r>
      <w:r w:rsidR="00721A95">
        <w:rPr>
          <w:lang w:val="sk-SK"/>
        </w:rPr>
        <w:t>mn</w:t>
      </w:r>
      <w:r w:rsidR="00846D51">
        <w:rPr>
          <w:lang w:val="sk-SK"/>
        </w:rPr>
        <w:t>o</w:t>
      </w:r>
      <w:r>
        <w:rPr>
          <w:lang w:val="sk-SK"/>
        </w:rPr>
        <w:t xml:space="preserve">ho nejasností. </w:t>
      </w:r>
    </w:p>
    <w:p w:rsidR="00846D51" w:rsidRPr="00846D51" w:rsidRDefault="00846D51" w:rsidP="00D244DB">
      <w:pPr>
        <w:pStyle w:val="PotText"/>
        <w:outlineLvl w:val="0"/>
        <w:rPr>
          <w:b/>
          <w:sz w:val="22"/>
          <w:szCs w:val="22"/>
          <w:lang w:val="sk-SK"/>
        </w:rPr>
      </w:pPr>
      <w:r w:rsidRPr="00846D51">
        <w:rPr>
          <w:b/>
          <w:sz w:val="22"/>
          <w:szCs w:val="22"/>
          <w:lang w:val="sk-SK"/>
        </w:rPr>
        <w:lastRenderedPageBreak/>
        <w:t>EPIDEMIOLÓGIA</w:t>
      </w:r>
    </w:p>
    <w:p w:rsidR="00846D51" w:rsidRDefault="00846D51" w:rsidP="00A1230C">
      <w:pPr>
        <w:pStyle w:val="PotText"/>
        <w:rPr>
          <w:b/>
          <w:lang w:val="sk-SK"/>
        </w:rPr>
      </w:pPr>
      <w:r>
        <w:rPr>
          <w:lang w:val="sk-SK"/>
        </w:rPr>
        <w:tab/>
        <w:t>Podľa výskumu v 50-tych rokoch 20. storočia bola frekvencia celiakie vo svete stanovená v rozsahu 1 prípad na 4</w:t>
      </w:r>
      <w:r w:rsidR="0029212E">
        <w:rPr>
          <w:lang w:val="sk-SK"/>
        </w:rPr>
        <w:t xml:space="preserve"> </w:t>
      </w:r>
      <w:r>
        <w:rPr>
          <w:lang w:val="sk-SK"/>
        </w:rPr>
        <w:t>000 až 8</w:t>
      </w:r>
      <w:r w:rsidR="0029212E">
        <w:rPr>
          <w:lang w:val="sk-SK"/>
        </w:rPr>
        <w:t xml:space="preserve"> </w:t>
      </w:r>
      <w:r>
        <w:rPr>
          <w:lang w:val="sk-SK"/>
        </w:rPr>
        <w:t xml:space="preserve">000 obyvateľov. </w:t>
      </w:r>
      <w:r w:rsidR="004628C0">
        <w:rPr>
          <w:lang w:val="sk-SK"/>
        </w:rPr>
        <w:t>Za hlavné kritérium na stanovenie diagnózy sa považovala typická symptomatológia kompletného malabsorpčného syndrómu. Začiatkom 60-tych rokov sa zavedením enterobiopsie pohľad na výskyt celiakie zmenil</w:t>
      </w:r>
      <w:r w:rsidR="00FF3C7B">
        <w:rPr>
          <w:lang w:val="sk-SK"/>
        </w:rPr>
        <w:t>. Napriek tomu,</w:t>
      </w:r>
      <w:r w:rsidR="00284B2E">
        <w:rPr>
          <w:lang w:val="sk-SK"/>
        </w:rPr>
        <w:t xml:space="preserve"> ostáva celiakia celosvetovo nedostatočne diagnostikovaným ochorením a počet diagnostikovaných prípadov je oveľa nižší ako reálne počty celiatikov</w:t>
      </w:r>
      <w:r w:rsidR="00FF3C7B">
        <w:rPr>
          <w:lang w:val="sk-SK"/>
        </w:rPr>
        <w:t xml:space="preserve"> </w:t>
      </w:r>
      <w:r w:rsidR="004628C0" w:rsidRPr="0029212E">
        <w:rPr>
          <w:b/>
          <w:lang w:val="sk-SK"/>
        </w:rPr>
        <w:t>(Lukáš</w:t>
      </w:r>
      <w:r w:rsidR="00344995">
        <w:rPr>
          <w:b/>
          <w:lang w:val="sk-SK"/>
        </w:rPr>
        <w:t>,</w:t>
      </w:r>
      <w:r w:rsidR="004628C0" w:rsidRPr="0029212E">
        <w:rPr>
          <w:b/>
          <w:lang w:val="sk-SK"/>
        </w:rPr>
        <w:t xml:space="preserve"> 2009</w:t>
      </w:r>
      <w:r w:rsidR="00284B2E">
        <w:rPr>
          <w:b/>
          <w:lang w:val="sk-SK"/>
        </w:rPr>
        <w:t>; Makovický, Rimárová, 2011</w:t>
      </w:r>
      <w:r w:rsidR="004628C0" w:rsidRPr="0029212E">
        <w:rPr>
          <w:b/>
          <w:lang w:val="sk-SK"/>
        </w:rPr>
        <w:t>).</w:t>
      </w:r>
    </w:p>
    <w:p w:rsidR="004628C0" w:rsidRPr="0029212E" w:rsidRDefault="004628C0" w:rsidP="00A1230C">
      <w:pPr>
        <w:pStyle w:val="PotText"/>
        <w:rPr>
          <w:b/>
          <w:lang w:val="sk-SK"/>
        </w:rPr>
      </w:pPr>
      <w:r>
        <w:rPr>
          <w:lang w:val="sk-SK"/>
        </w:rPr>
        <w:tab/>
        <w:t>Celiakia je výsledkom pôsobenia dvoch faktorov: enviromentálneho (konzumácia pšenice) a genetického (HLA gény) a distribúcia týchto dvoch zložiek uľahčuje identifikáciu krajín s vyšším rizikom celiakie. Takže gluténová intolerancia je častá v Európe, severnej a južnej Amerike, severnej Afrike, Austrálii a juhozápadnej Ázii a naopak nie je veľmi bežná na ďalekom Východe, kde potraviny na báze pšenice nie sú súčasťou základnej stravy a výskyt haplotypov DQ2 a DQ8 je zriedkavý (výskyt haplotypu DQ2 v Číne je okolo 3</w:t>
      </w:r>
      <w:r w:rsidR="0029212E">
        <w:rPr>
          <w:lang w:val="sk-SK"/>
        </w:rPr>
        <w:t xml:space="preserve"> </w:t>
      </w:r>
      <w:r>
        <w:rPr>
          <w:lang w:val="sk-SK"/>
        </w:rPr>
        <w:t xml:space="preserve">%), alebo absentuje (Japonsko), prípadne nie je známy (Kórea, Malajzia, Filipíny atď.) </w:t>
      </w:r>
      <w:r w:rsidRPr="0029212E">
        <w:rPr>
          <w:b/>
          <w:lang w:val="sk-SK"/>
        </w:rPr>
        <w:t>(Accomando, Cataldo, 2004).</w:t>
      </w:r>
    </w:p>
    <w:p w:rsidR="004628C0" w:rsidRPr="0029212E" w:rsidRDefault="004628C0" w:rsidP="00A1230C">
      <w:pPr>
        <w:pStyle w:val="PotText"/>
        <w:rPr>
          <w:b/>
          <w:lang w:val="sk-SK"/>
        </w:rPr>
      </w:pPr>
      <w:r>
        <w:rPr>
          <w:lang w:val="sk-SK"/>
        </w:rPr>
        <w:tab/>
        <w:t xml:space="preserve">Ochorenie bolo opísané hlavne u kaukazských národov, ale boli diagnostikované prípady vo všetkých etnických skupinách. Akékoľvek rozdiely medzi etnickými skupinami môžu byť v dôsledku genetickej rozdielnosti medzi populáciami, dostupnosti diagnostických zariadení a konzumácie príslušných obilnín, pretože celiakia sa môže prejaviť len u populácie, ktorá konzumuje pšenicu </w:t>
      </w:r>
      <w:r w:rsidRPr="0029212E">
        <w:rPr>
          <w:b/>
          <w:lang w:val="sk-SK"/>
        </w:rPr>
        <w:t>(Howdle, 2003).</w:t>
      </w:r>
    </w:p>
    <w:p w:rsidR="004628C0" w:rsidRPr="0029212E" w:rsidRDefault="004628C0" w:rsidP="00A1230C">
      <w:pPr>
        <w:pStyle w:val="PotText"/>
        <w:rPr>
          <w:b/>
          <w:lang w:val="sk-SK"/>
        </w:rPr>
      </w:pPr>
      <w:r>
        <w:rPr>
          <w:lang w:val="sk-SK"/>
        </w:rPr>
        <w:tab/>
        <w:t xml:space="preserve">Zaujímavé sú údaje, aj keď je ich obmedzené množstvo, o rozšírení celiakie v Afrike. Gluténová intolerancia je rozšírená v Magrebskej oblasti (severné regióny Afriky). </w:t>
      </w:r>
      <w:r w:rsidR="0036462A">
        <w:rPr>
          <w:lang w:val="sk-SK"/>
        </w:rPr>
        <w:t xml:space="preserve">Najvyšší výskyt celiakie 1:20 bol popísaný u ľudí kmeňa Saharawi zo saharského regiónu Afriky. </w:t>
      </w:r>
      <w:r>
        <w:rPr>
          <w:lang w:val="sk-SK"/>
        </w:rPr>
        <w:t>Naproti tomu, obyvatelia centrálnej Afriky (Burkina Faso)</w:t>
      </w:r>
      <w:r w:rsidR="00F15A49">
        <w:rPr>
          <w:lang w:val="sk-SK"/>
        </w:rPr>
        <w:t xml:space="preserve"> sérologicky testovaní neboli pozitívni na protilátky</w:t>
      </w:r>
      <w:r w:rsidR="0036462A">
        <w:rPr>
          <w:lang w:val="sk-SK"/>
        </w:rPr>
        <w:t xml:space="preserve">. </w:t>
      </w:r>
      <w:r w:rsidR="00F15A49">
        <w:rPr>
          <w:lang w:val="sk-SK"/>
        </w:rPr>
        <w:t xml:space="preserve">Sú však potrebné ďalšie štúdie na potvrdenie týchto údajov </w:t>
      </w:r>
      <w:r w:rsidR="00F15A49" w:rsidRPr="0029212E">
        <w:rPr>
          <w:b/>
          <w:lang w:val="sk-SK"/>
        </w:rPr>
        <w:t>(Accomando, Cataldo, 2004</w:t>
      </w:r>
      <w:r w:rsidR="0036462A">
        <w:rPr>
          <w:b/>
          <w:lang w:val="sk-SK"/>
        </w:rPr>
        <w:t>; Ciclitira, Moodie, 2003</w:t>
      </w:r>
      <w:r w:rsidR="00F15A49" w:rsidRPr="0029212E">
        <w:rPr>
          <w:b/>
          <w:lang w:val="sk-SK"/>
        </w:rPr>
        <w:t xml:space="preserve">).  </w:t>
      </w:r>
    </w:p>
    <w:p w:rsidR="00266DAC" w:rsidRDefault="00721A95" w:rsidP="00A1230C">
      <w:pPr>
        <w:pStyle w:val="PotText"/>
        <w:rPr>
          <w:lang w:val="sk-SK"/>
        </w:rPr>
      </w:pPr>
      <w:r>
        <w:rPr>
          <w:lang w:val="sk-SK"/>
        </w:rPr>
        <w:tab/>
      </w:r>
    </w:p>
    <w:p w:rsidR="00F15A49" w:rsidRPr="0029212E" w:rsidRDefault="00F15A49" w:rsidP="00A1230C">
      <w:pPr>
        <w:pStyle w:val="PotText"/>
        <w:rPr>
          <w:b/>
          <w:lang w:val="sk-SK"/>
        </w:rPr>
      </w:pPr>
      <w:r w:rsidRPr="00F15A49">
        <w:rPr>
          <w:b/>
          <w:lang w:val="sk-SK"/>
        </w:rPr>
        <w:t>Tabuľka 1</w:t>
      </w:r>
      <w:r>
        <w:rPr>
          <w:lang w:val="sk-SK"/>
        </w:rPr>
        <w:t xml:space="preserve"> Prevalencia celiakie v niektorých európskych krajinách </w:t>
      </w:r>
      <w:r w:rsidRPr="0029212E">
        <w:rPr>
          <w:b/>
          <w:lang w:val="sk-SK"/>
        </w:rPr>
        <w:t>(Krajčírová, 2007; Accomando, Cataldo, 2004)</w:t>
      </w:r>
    </w:p>
    <w:tbl>
      <w:tblPr>
        <w:tblW w:w="0" w:type="auto"/>
        <w:tblInd w:w="108" w:type="dxa"/>
        <w:tblLayout w:type="fixed"/>
        <w:tblLook w:val="0000" w:firstRow="0" w:lastRow="0" w:firstColumn="0" w:lastColumn="0" w:noHBand="0" w:noVBand="0"/>
      </w:tblPr>
      <w:tblGrid>
        <w:gridCol w:w="1701"/>
        <w:gridCol w:w="1560"/>
        <w:gridCol w:w="1559"/>
      </w:tblGrid>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BoldCond"/>
                <w:b/>
                <w:bCs/>
                <w:color w:val="000000"/>
                <w:sz w:val="20"/>
                <w:szCs w:val="20"/>
              </w:rPr>
            </w:pPr>
            <w:r w:rsidRPr="00676C9D">
              <w:rPr>
                <w:rFonts w:cs="NimbusSanLEE-BoldCond"/>
                <w:b/>
                <w:bCs/>
                <w:color w:val="000000"/>
                <w:sz w:val="20"/>
                <w:szCs w:val="20"/>
              </w:rPr>
              <w:t xml:space="preserve">Krajina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BoldCond"/>
                <w:b/>
                <w:bCs/>
                <w:color w:val="000000"/>
                <w:sz w:val="20"/>
                <w:szCs w:val="20"/>
              </w:rPr>
            </w:pPr>
            <w:r w:rsidRPr="00676C9D">
              <w:rPr>
                <w:rFonts w:cs="NimbusSanLEE-BoldCond"/>
                <w:b/>
                <w:bCs/>
                <w:color w:val="000000"/>
                <w:sz w:val="20"/>
                <w:szCs w:val="20"/>
              </w:rPr>
              <w:t>Prevalencia</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BoldCond"/>
                <w:b/>
                <w:bCs/>
                <w:color w:val="000000"/>
                <w:sz w:val="20"/>
                <w:szCs w:val="20"/>
              </w:rPr>
            </w:pPr>
            <w:r w:rsidRPr="00676C9D">
              <w:rPr>
                <w:rFonts w:cs="NimbusSanLEE-BoldCond"/>
                <w:b/>
                <w:bCs/>
                <w:color w:val="000000"/>
                <w:sz w:val="20"/>
                <w:szCs w:val="20"/>
              </w:rPr>
              <w:t>‰</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Chorvátsko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jc w:val="center"/>
              <w:rPr>
                <w:rFonts w:cs="NimbusSanLEE-ReguCond"/>
                <w:color w:val="000000"/>
                <w:sz w:val="20"/>
                <w:szCs w:val="20"/>
              </w:rPr>
            </w:pPr>
            <w:r w:rsidRPr="00676C9D">
              <w:rPr>
                <w:rFonts w:cs="NimbusSanLEE-ReguCond"/>
                <w:color w:val="000000"/>
                <w:sz w:val="20"/>
                <w:szCs w:val="20"/>
              </w:rPr>
              <w:t>1 : 500</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2,00</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Dánsko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394</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2,50</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Estónsko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88</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11,36</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Fínsko</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99</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10,00</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Nemecko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500</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2,00</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Maďarsko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85</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11,76</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Írsko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122</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8,20</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Nórsko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340</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2,94</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Portugalsko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134</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7,46</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Španielsko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389</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2,57</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Švédsko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190</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5,26</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Švajčiarsko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132</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7,56</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Holandsko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192</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5,20</w:t>
            </w:r>
          </w:p>
        </w:tc>
      </w:tr>
      <w:tr w:rsidR="00F15A49" w:rsidRPr="00676C9D">
        <w:tc>
          <w:tcPr>
            <w:tcW w:w="1701"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rPr>
                <w:rFonts w:cs="NimbusSanLEE-ReguCond"/>
                <w:color w:val="000000"/>
                <w:sz w:val="20"/>
                <w:szCs w:val="20"/>
              </w:rPr>
            </w:pPr>
            <w:r w:rsidRPr="00676C9D">
              <w:rPr>
                <w:rFonts w:cs="NimbusSanLEE-ReguCond"/>
                <w:color w:val="000000"/>
                <w:sz w:val="20"/>
                <w:szCs w:val="20"/>
              </w:rPr>
              <w:t xml:space="preserve">Veľká Británia </w:t>
            </w:r>
          </w:p>
        </w:tc>
        <w:tc>
          <w:tcPr>
            <w:tcW w:w="1560" w:type="dxa"/>
            <w:tcBorders>
              <w:top w:val="single" w:sz="4" w:space="0" w:color="000000"/>
              <w:left w:val="single" w:sz="4" w:space="0" w:color="000000"/>
              <w:bottom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 : 100</w:t>
            </w:r>
          </w:p>
        </w:tc>
        <w:tc>
          <w:tcPr>
            <w:tcW w:w="1559" w:type="dxa"/>
            <w:tcBorders>
              <w:top w:val="single" w:sz="4" w:space="0" w:color="000000"/>
              <w:left w:val="single" w:sz="4" w:space="0" w:color="000000"/>
              <w:bottom w:val="single" w:sz="4" w:space="0" w:color="000000"/>
              <w:right w:val="single" w:sz="4" w:space="0" w:color="000000"/>
            </w:tcBorders>
          </w:tcPr>
          <w:p w:rsidR="00F15A49" w:rsidRPr="00676C9D" w:rsidRDefault="00F15A49" w:rsidP="00E23ADB">
            <w:pPr>
              <w:autoSpaceDE w:val="0"/>
              <w:snapToGrid w:val="0"/>
              <w:jc w:val="center"/>
              <w:rPr>
                <w:rFonts w:cs="NimbusSanLEE-ReguCond"/>
                <w:color w:val="000000"/>
                <w:sz w:val="20"/>
                <w:szCs w:val="20"/>
              </w:rPr>
            </w:pPr>
            <w:r w:rsidRPr="00676C9D">
              <w:rPr>
                <w:rFonts w:cs="NimbusSanLEE-ReguCond"/>
                <w:color w:val="000000"/>
                <w:sz w:val="20"/>
                <w:szCs w:val="20"/>
              </w:rPr>
              <w:t>10,00</w:t>
            </w:r>
          </w:p>
        </w:tc>
      </w:tr>
    </w:tbl>
    <w:p w:rsidR="00F15A49" w:rsidRDefault="00F15A49" w:rsidP="00A1230C">
      <w:pPr>
        <w:pStyle w:val="PotText"/>
        <w:rPr>
          <w:lang w:val="sk-SK"/>
        </w:rPr>
      </w:pPr>
    </w:p>
    <w:p w:rsidR="00073E40" w:rsidRDefault="00073E40" w:rsidP="00073E40">
      <w:pPr>
        <w:pStyle w:val="PotText"/>
        <w:rPr>
          <w:b/>
          <w:lang w:val="sk-SK"/>
        </w:rPr>
      </w:pPr>
      <w:r>
        <w:rPr>
          <w:lang w:val="sk-SK"/>
        </w:rPr>
        <w:lastRenderedPageBreak/>
        <w:tab/>
        <w:t xml:space="preserve">Súčasné údaje o priemernej </w:t>
      </w:r>
      <w:r w:rsidRPr="0038074E">
        <w:rPr>
          <w:lang w:val="sk-SK"/>
        </w:rPr>
        <w:t>celosvetovej</w:t>
      </w:r>
      <w:r w:rsidR="00D55A15">
        <w:rPr>
          <w:lang w:val="sk-SK"/>
        </w:rPr>
        <w:t xml:space="preserve"> </w:t>
      </w:r>
      <w:r>
        <w:rPr>
          <w:lang w:val="sk-SK"/>
        </w:rPr>
        <w:t>prevalencii sú 1:100 až 1:250 obyvateľov. V Tab. 1 je uvedený výskyt celiakie v rôznych európskych krajinách na základe skríningových štúdií. Skutočná frekvencia výskytu je len ťažko stanoviteľná, pretože symptomatickí pacienti tvoria len vrchol ľadovca.</w:t>
      </w:r>
      <w:r w:rsidR="0038074E">
        <w:rPr>
          <w:lang w:val="sk-SK"/>
        </w:rPr>
        <w:t xml:space="preserve"> </w:t>
      </w:r>
      <w:r w:rsidR="00483905">
        <w:rPr>
          <w:lang w:val="sk-SK"/>
        </w:rPr>
        <w:t xml:space="preserve">Najmä u dospelých sa celiakia prejavuje značne variabilne a atypické formy sú častejšie než klasická forma vyskytujúca sa najmä u detí. </w:t>
      </w:r>
      <w:r>
        <w:rPr>
          <w:lang w:val="sk-SK"/>
        </w:rPr>
        <w:t>Na Slovensku bolo v roku 2008 diagnostikovaných 7 930 pacientov, čo predstavuje prevalenciu 1:677</w:t>
      </w:r>
      <w:r w:rsidR="00483905">
        <w:rPr>
          <w:lang w:val="sk-SK"/>
        </w:rPr>
        <w:t xml:space="preserve">. Na základe údajov </w:t>
      </w:r>
      <w:r w:rsidR="008826A0">
        <w:rPr>
          <w:lang w:val="sk-SK"/>
        </w:rPr>
        <w:t>z iných európskych krajín</w:t>
      </w:r>
      <w:r w:rsidR="00483905">
        <w:rPr>
          <w:lang w:val="sk-SK"/>
        </w:rPr>
        <w:t xml:space="preserve"> sa predpokladá výskyt 1:250, čo znamená, že diagnostika celiakie stále nie je dostatočná</w:t>
      </w:r>
      <w:r>
        <w:rPr>
          <w:lang w:val="sk-SK"/>
        </w:rPr>
        <w:t xml:space="preserve"> </w:t>
      </w:r>
      <w:r w:rsidR="00483905">
        <w:rPr>
          <w:lang w:val="sk-SK"/>
        </w:rPr>
        <w:t xml:space="preserve">a predstavuje </w:t>
      </w:r>
      <w:r w:rsidR="00344995">
        <w:rPr>
          <w:lang w:val="sk-SK"/>
        </w:rPr>
        <w:t xml:space="preserve">len </w:t>
      </w:r>
      <w:r w:rsidR="00483905">
        <w:rPr>
          <w:lang w:val="sk-SK"/>
        </w:rPr>
        <w:t xml:space="preserve">vrchol ľadovca </w:t>
      </w:r>
      <w:r w:rsidRPr="005A6C6B">
        <w:rPr>
          <w:b/>
          <w:lang w:val="sk-SK"/>
        </w:rPr>
        <w:t>(</w:t>
      </w:r>
      <w:r>
        <w:rPr>
          <w:b/>
          <w:lang w:val="sk-SK"/>
        </w:rPr>
        <w:t xml:space="preserve">Ciclitira </w:t>
      </w:r>
      <w:r w:rsidR="005A5D18">
        <w:rPr>
          <w:b/>
          <w:lang w:val="sk-SK"/>
        </w:rPr>
        <w:t>et al</w:t>
      </w:r>
      <w:r>
        <w:rPr>
          <w:b/>
          <w:lang w:val="sk-SK"/>
        </w:rPr>
        <w:t>., 2005</w:t>
      </w:r>
      <w:r w:rsidR="00C552D0">
        <w:rPr>
          <w:b/>
          <w:lang w:val="sk-SK"/>
        </w:rPr>
        <w:t>a</w:t>
      </w:r>
      <w:r>
        <w:rPr>
          <w:b/>
          <w:lang w:val="sk-SK"/>
        </w:rPr>
        <w:t xml:space="preserve">; Pekárková </w:t>
      </w:r>
      <w:r w:rsidR="005A5D18">
        <w:rPr>
          <w:b/>
          <w:lang w:val="sk-SK"/>
        </w:rPr>
        <w:t>et al</w:t>
      </w:r>
      <w:r>
        <w:rPr>
          <w:b/>
          <w:lang w:val="sk-SK"/>
        </w:rPr>
        <w:t>., 2009</w:t>
      </w:r>
      <w:r w:rsidR="00483905">
        <w:rPr>
          <w:b/>
          <w:lang w:val="sk-SK"/>
        </w:rPr>
        <w:t>; Makovický, Rimárová, 2011</w:t>
      </w:r>
      <w:r w:rsidRPr="005A6C6B">
        <w:rPr>
          <w:b/>
          <w:lang w:val="sk-SK"/>
        </w:rPr>
        <w:t>).</w:t>
      </w:r>
    </w:p>
    <w:p w:rsidR="00703C38" w:rsidRDefault="00703C38" w:rsidP="00703C38">
      <w:pPr>
        <w:pStyle w:val="PotText"/>
        <w:rPr>
          <w:lang w:val="sk-SK"/>
        </w:rPr>
      </w:pPr>
      <w:r>
        <w:rPr>
          <w:lang w:val="sk-SK"/>
        </w:rPr>
        <w:tab/>
        <w:t xml:space="preserve">Veková distribúcia celiakie v dospelosti je bimodálna, prvý vrchol je v 3.-4. dekáde, druhý v 5.-6. dekáde. Rozdiel medzi pohlaviami je minimálny, o niečo viac sú postihované ženy </w:t>
      </w:r>
      <w:r w:rsidRPr="0029212E">
        <w:rPr>
          <w:b/>
          <w:lang w:val="sk-SK"/>
        </w:rPr>
        <w:t xml:space="preserve">(Stachová </w:t>
      </w:r>
      <w:r w:rsidR="005A5D18">
        <w:rPr>
          <w:b/>
          <w:lang w:val="sk-SK"/>
        </w:rPr>
        <w:t>et al</w:t>
      </w:r>
      <w:r w:rsidRPr="0029212E">
        <w:rPr>
          <w:b/>
          <w:lang w:val="sk-SK"/>
        </w:rPr>
        <w:t>., 2009).</w:t>
      </w:r>
    </w:p>
    <w:p w:rsidR="00987B68" w:rsidRDefault="00B16C9A" w:rsidP="00A1230C">
      <w:pPr>
        <w:pStyle w:val="PotText"/>
        <w:rPr>
          <w:b/>
          <w:lang w:val="sk-SK"/>
        </w:rPr>
      </w:pPr>
      <w:r>
        <w:rPr>
          <w:lang w:val="sk-SK"/>
        </w:rPr>
        <w:tab/>
      </w:r>
      <w:r w:rsidR="008826A0">
        <w:rPr>
          <w:lang w:val="sk-SK"/>
        </w:rPr>
        <w:t>V súčasnosti sa h</w:t>
      </w:r>
      <w:r w:rsidRPr="00E461AB">
        <w:rPr>
          <w:lang w:val="sk-SK"/>
        </w:rPr>
        <w:t>ľadajú spôsoby, ako diagnostikovať ochorenie už v rannom štádiu</w:t>
      </w:r>
      <w:r>
        <w:rPr>
          <w:lang w:val="sk-SK"/>
        </w:rPr>
        <w:t>, pričom hlavný dôraz sa kladie na presnosť, rýchlosť, minimálnu invazívnosť a samozrejme aj primeranú cenu vyšetrenia.</w:t>
      </w:r>
      <w:r w:rsidR="00344995">
        <w:rPr>
          <w:lang w:val="sk-SK"/>
        </w:rPr>
        <w:t xml:space="preserve"> </w:t>
      </w:r>
      <w:r w:rsidR="00F8166B">
        <w:t>Vča</w:t>
      </w:r>
      <w:r w:rsidR="00703C38" w:rsidRPr="004776F8">
        <w:t>sným stanovením diagnózy a okamžitým zavedením bezlepkovej diéty je možné u podstatnej časti pacientov dosiahnuť ústup klinických symptómov a znížiť výskyt závažných komplikácií choroby</w:t>
      </w:r>
      <w:r w:rsidR="00987B68" w:rsidRPr="004776F8">
        <w:t xml:space="preserve"> </w:t>
      </w:r>
      <w:r w:rsidR="00987B68" w:rsidRPr="0029212E">
        <w:rPr>
          <w:b/>
          <w:lang w:val="sk-SK"/>
        </w:rPr>
        <w:t>(</w:t>
      </w:r>
      <w:r w:rsidR="004776F8">
        <w:rPr>
          <w:b/>
          <w:lang w:val="sk-SK"/>
        </w:rPr>
        <w:t>Pekárková</w:t>
      </w:r>
      <w:r w:rsidR="005A5D18">
        <w:rPr>
          <w:b/>
          <w:lang w:val="sk-SK"/>
        </w:rPr>
        <w:t xml:space="preserve"> et al</w:t>
      </w:r>
      <w:r w:rsidR="004776F8">
        <w:rPr>
          <w:b/>
          <w:lang w:val="sk-SK"/>
        </w:rPr>
        <w:t>., 2009; Stac</w:t>
      </w:r>
      <w:r w:rsidR="00987B68" w:rsidRPr="0029212E">
        <w:rPr>
          <w:b/>
          <w:lang w:val="sk-SK"/>
        </w:rPr>
        <w:t>hová</w:t>
      </w:r>
      <w:r w:rsidR="005A5D18">
        <w:rPr>
          <w:b/>
          <w:lang w:val="sk-SK"/>
        </w:rPr>
        <w:t xml:space="preserve"> et al</w:t>
      </w:r>
      <w:r w:rsidR="00987B68" w:rsidRPr="0029212E">
        <w:rPr>
          <w:b/>
          <w:lang w:val="sk-SK"/>
        </w:rPr>
        <w:t>., 2009).</w:t>
      </w:r>
    </w:p>
    <w:p w:rsidR="006F37B0" w:rsidRDefault="006F37B0" w:rsidP="00A1230C">
      <w:pPr>
        <w:pStyle w:val="PotText"/>
        <w:rPr>
          <w:b/>
          <w:lang w:val="sk-SK"/>
        </w:rPr>
      </w:pPr>
    </w:p>
    <w:p w:rsidR="00987B68" w:rsidRPr="00987B68" w:rsidRDefault="00987B68" w:rsidP="00D244DB">
      <w:pPr>
        <w:pStyle w:val="PotText"/>
        <w:outlineLvl w:val="0"/>
        <w:rPr>
          <w:b/>
          <w:sz w:val="22"/>
          <w:szCs w:val="22"/>
          <w:lang w:val="sk-SK"/>
        </w:rPr>
      </w:pPr>
      <w:r w:rsidRPr="00987B68">
        <w:rPr>
          <w:b/>
          <w:sz w:val="22"/>
          <w:szCs w:val="22"/>
          <w:lang w:val="sk-SK"/>
        </w:rPr>
        <w:t>PATOGENÉZA</w:t>
      </w:r>
    </w:p>
    <w:p w:rsidR="001F089E" w:rsidRDefault="00F405F5" w:rsidP="001F089E">
      <w:pPr>
        <w:pStyle w:val="PotText"/>
      </w:pPr>
      <w:r>
        <w:tab/>
        <w:t xml:space="preserve">Celiakia je komplexným autoimunitným  ochorením postihujúcim najmä tenké črevo. Ide o zápalové ochorenie vyvolané príjmom lepku u geneticky citlivých jedincov. </w:t>
      </w:r>
      <w:r w:rsidR="008F456C">
        <w:t>Tieto dva faktory ovplyvňujúce vznik celiakie sú v súčasnosti intenzívne skú</w:t>
      </w:r>
      <w:r w:rsidR="00581254">
        <w:t>mané. Potencionálne spúšťac</w:t>
      </w:r>
      <w:r w:rsidR="008F456C">
        <w:t xml:space="preserve">ie faktory </w:t>
      </w:r>
      <w:r w:rsidR="00010564">
        <w:t xml:space="preserve">patologickej imunitnej odpovede </w:t>
      </w:r>
      <w:r w:rsidR="008F456C">
        <w:t>sú predmetom výskumu</w:t>
      </w:r>
      <w:r w:rsidR="00010564">
        <w:t xml:space="preserve"> </w:t>
      </w:r>
      <w:r w:rsidR="00010564" w:rsidRPr="005A5D18">
        <w:rPr>
          <w:b/>
        </w:rPr>
        <w:t>(Pekárková</w:t>
      </w:r>
      <w:r w:rsidR="005A5D18">
        <w:rPr>
          <w:b/>
          <w:lang w:val="sk-SK"/>
        </w:rPr>
        <w:t xml:space="preserve"> et al</w:t>
      </w:r>
      <w:r w:rsidR="00010564" w:rsidRPr="005A5D18">
        <w:rPr>
          <w:b/>
        </w:rPr>
        <w:t>., 2009)</w:t>
      </w:r>
      <w:r w:rsidR="008F456C" w:rsidRPr="005A5D18">
        <w:rPr>
          <w:b/>
        </w:rPr>
        <w:t>.</w:t>
      </w:r>
    </w:p>
    <w:p w:rsidR="008F456C" w:rsidRPr="001F089E" w:rsidRDefault="008F456C" w:rsidP="0080238C">
      <w:pPr>
        <w:pStyle w:val="PotText"/>
      </w:pPr>
    </w:p>
    <w:p w:rsidR="00987B68" w:rsidRPr="00987B68" w:rsidRDefault="00987B68" w:rsidP="00D244DB">
      <w:pPr>
        <w:pStyle w:val="PotText"/>
        <w:outlineLvl w:val="0"/>
        <w:rPr>
          <w:i/>
          <w:sz w:val="22"/>
          <w:szCs w:val="22"/>
          <w:lang w:val="sk-SK"/>
        </w:rPr>
      </w:pPr>
      <w:r w:rsidRPr="00987B68">
        <w:rPr>
          <w:i/>
          <w:sz w:val="22"/>
          <w:szCs w:val="22"/>
          <w:lang w:val="sk-SK"/>
        </w:rPr>
        <w:t>GENETICKÉ FAKTORY</w:t>
      </w:r>
    </w:p>
    <w:p w:rsidR="00ED0AC0" w:rsidRPr="005A5D18" w:rsidRDefault="006C3E7E" w:rsidP="00A1230C">
      <w:pPr>
        <w:pStyle w:val="PotText"/>
        <w:rPr>
          <w:b/>
          <w:lang w:val="sk-SK"/>
        </w:rPr>
      </w:pPr>
      <w:r>
        <w:rPr>
          <w:lang w:val="sk-SK"/>
        </w:rPr>
        <w:tab/>
        <w:t>Rozvoj celiakie je podmi</w:t>
      </w:r>
      <w:r w:rsidR="00DC7524">
        <w:rPr>
          <w:lang w:val="sk-SK"/>
        </w:rPr>
        <w:t>enený interakciou medzi génmi a</w:t>
      </w:r>
      <w:r w:rsidR="009527C2">
        <w:rPr>
          <w:lang w:val="sk-SK"/>
        </w:rPr>
        <w:t> </w:t>
      </w:r>
      <w:r w:rsidR="00DC7524">
        <w:rPr>
          <w:lang w:val="sk-SK"/>
        </w:rPr>
        <w:t>prostredí</w:t>
      </w:r>
      <w:r w:rsidR="009527C2">
        <w:rPr>
          <w:lang w:val="sk-SK"/>
        </w:rPr>
        <w:t>m,</w:t>
      </w:r>
      <w:r w:rsidR="00DC7524">
        <w:rPr>
          <w:lang w:val="sk-SK"/>
        </w:rPr>
        <w:t xml:space="preserve"> a teda vzniká u jedincov s genetickou predispozíciou. Tá je daná prítomnosťou jedného alebo oboch génov HLA (Human Leukocyte Antigens)  komplexu II. triedy – HLA</w:t>
      </w:r>
      <w:r w:rsidR="00171C3B">
        <w:rPr>
          <w:lang w:val="sk-SK"/>
        </w:rPr>
        <w:t xml:space="preserve"> </w:t>
      </w:r>
      <w:r w:rsidR="00DC7524">
        <w:rPr>
          <w:lang w:val="sk-SK"/>
        </w:rPr>
        <w:t>DQ2 a/alebo DQ</w:t>
      </w:r>
      <w:r w:rsidR="00F44FB7">
        <w:rPr>
          <w:lang w:val="sk-SK"/>
        </w:rPr>
        <w:t xml:space="preserve">8 (hlavné predisponujúce gény) </w:t>
      </w:r>
      <w:r w:rsidR="00ED0AC0" w:rsidRPr="005A5D18">
        <w:rPr>
          <w:b/>
          <w:lang w:val="sk-SK"/>
        </w:rPr>
        <w:t xml:space="preserve">(Trynka </w:t>
      </w:r>
      <w:r w:rsidR="005A5D18">
        <w:rPr>
          <w:b/>
          <w:lang w:val="sk-SK"/>
        </w:rPr>
        <w:t>et al., 2010).</w:t>
      </w:r>
    </w:p>
    <w:p w:rsidR="00DC7524" w:rsidRPr="0029212E" w:rsidRDefault="00ED0AC0" w:rsidP="00A1230C">
      <w:pPr>
        <w:pStyle w:val="PotText"/>
        <w:rPr>
          <w:b/>
          <w:lang w:val="sk-SK"/>
        </w:rPr>
      </w:pPr>
      <w:r>
        <w:rPr>
          <w:lang w:val="sk-SK"/>
        </w:rPr>
        <w:tab/>
      </w:r>
      <w:r w:rsidR="008F456C">
        <w:rPr>
          <w:lang w:val="sk-SK"/>
        </w:rPr>
        <w:t>Molekuly HLA II. triedy patria k transmembránovým glykoproteínom,</w:t>
      </w:r>
      <w:r>
        <w:rPr>
          <w:lang w:val="sk-SK"/>
        </w:rPr>
        <w:t xml:space="preserve"> ktorých </w:t>
      </w:r>
      <w:r w:rsidR="008F456C">
        <w:rPr>
          <w:lang w:val="sk-SK"/>
        </w:rPr>
        <w:t>funkciou je prijať imunogénny fragment a transportovať ho k imunokompetentným (APC) bunkám. V genotype je každý gén zastúpený dvoma alelami, jednou od matky, druhou od otca. V etiopatogenéze celiakie stačí prítomnosť jednej alely predisponujúceho génu na vznik a rozvoj ochorenia, čím vzniká širší priestor pre enviromentálne faktory</w:t>
      </w:r>
      <w:r w:rsidR="00956089">
        <w:rPr>
          <w:lang w:val="sk-SK"/>
        </w:rPr>
        <w:t xml:space="preserve"> </w:t>
      </w:r>
      <w:r w:rsidR="00DC7524" w:rsidRPr="0029212E">
        <w:rPr>
          <w:b/>
          <w:lang w:val="sk-SK"/>
        </w:rPr>
        <w:t xml:space="preserve">(Stachová </w:t>
      </w:r>
      <w:r w:rsidR="005A5D18">
        <w:rPr>
          <w:b/>
          <w:lang w:val="sk-SK"/>
        </w:rPr>
        <w:t>et al</w:t>
      </w:r>
      <w:r w:rsidR="00DC7524" w:rsidRPr="0029212E">
        <w:rPr>
          <w:b/>
          <w:lang w:val="sk-SK"/>
        </w:rPr>
        <w:t>., 2009).</w:t>
      </w:r>
    </w:p>
    <w:p w:rsidR="00DC7524" w:rsidRDefault="008E61C4" w:rsidP="00A1230C">
      <w:pPr>
        <w:pStyle w:val="PotText"/>
        <w:rPr>
          <w:lang w:val="sk-SK"/>
        </w:rPr>
      </w:pPr>
      <w:r>
        <w:rPr>
          <w:lang w:val="sk-SK"/>
        </w:rPr>
        <w:tab/>
      </w:r>
      <w:r w:rsidR="00D06F20">
        <w:rPr>
          <w:lang w:val="sk-SK"/>
        </w:rPr>
        <w:t xml:space="preserve">Vyše </w:t>
      </w:r>
      <w:r w:rsidR="00DC7524">
        <w:rPr>
          <w:lang w:val="sk-SK"/>
        </w:rPr>
        <w:t>98</w:t>
      </w:r>
      <w:r w:rsidR="00D06F20">
        <w:rPr>
          <w:lang w:val="sk-SK"/>
        </w:rPr>
        <w:t xml:space="preserve"> </w:t>
      </w:r>
      <w:r w:rsidR="00DC7524">
        <w:rPr>
          <w:lang w:val="sk-SK"/>
        </w:rPr>
        <w:t xml:space="preserve">% pacientov </w:t>
      </w:r>
      <w:r w:rsidR="00D06F20">
        <w:rPr>
          <w:lang w:val="sk-SK"/>
        </w:rPr>
        <w:t xml:space="preserve">s celiakiou </w:t>
      </w:r>
      <w:r w:rsidR="00DC7524">
        <w:rPr>
          <w:lang w:val="sk-SK"/>
        </w:rPr>
        <w:t xml:space="preserve">má jeden z uvedených HLA génov. HLA DQ2 má asi </w:t>
      </w:r>
      <w:r>
        <w:rPr>
          <w:lang w:val="sk-SK"/>
        </w:rPr>
        <w:t>90</w:t>
      </w:r>
      <w:r w:rsidR="00D06F20">
        <w:rPr>
          <w:lang w:val="sk-SK"/>
        </w:rPr>
        <w:t xml:space="preserve"> </w:t>
      </w:r>
      <w:r>
        <w:rPr>
          <w:lang w:val="sk-SK"/>
        </w:rPr>
        <w:t>% a HLA DQ8 menej ako 10</w:t>
      </w:r>
      <w:r w:rsidR="00D06F20">
        <w:rPr>
          <w:lang w:val="sk-SK"/>
        </w:rPr>
        <w:t xml:space="preserve"> </w:t>
      </w:r>
      <w:r>
        <w:rPr>
          <w:lang w:val="sk-SK"/>
        </w:rPr>
        <w:t xml:space="preserve">% pacientov. </w:t>
      </w:r>
      <w:r w:rsidR="00160229">
        <w:rPr>
          <w:lang w:val="sk-SK"/>
        </w:rPr>
        <w:t>Hoci prítomnosť HLA génov je dôležitá pre rozvoj celiakie, nie je postačujúca.</w:t>
      </w:r>
      <w:r w:rsidR="00EF062C">
        <w:rPr>
          <w:lang w:val="sk-SK"/>
        </w:rPr>
        <w:t xml:space="preserve"> Vzhľadom na to, že dedičnosť celiakie sa odhaduje na 80 % a</w:t>
      </w:r>
      <w:r w:rsidR="007008F7">
        <w:rPr>
          <w:lang w:val="sk-SK"/>
        </w:rPr>
        <w:t xml:space="preserve"> výskyt </w:t>
      </w:r>
      <w:r w:rsidR="00EF062C">
        <w:rPr>
          <w:lang w:val="sk-SK"/>
        </w:rPr>
        <w:t xml:space="preserve">HLA </w:t>
      </w:r>
      <w:r w:rsidR="007008F7">
        <w:rPr>
          <w:lang w:val="sk-SK"/>
        </w:rPr>
        <w:t xml:space="preserve">génov predstavuje </w:t>
      </w:r>
      <w:r w:rsidR="00EF062C">
        <w:rPr>
          <w:lang w:val="sk-SK"/>
        </w:rPr>
        <w:t>35 %</w:t>
      </w:r>
      <w:r w:rsidR="007008F7">
        <w:rPr>
          <w:lang w:val="sk-SK"/>
        </w:rPr>
        <w:t xml:space="preserve">-né riziko, do celiakie musí byť zahrnutých viacero geneticky rizikových faktorov. To potvrdili štúdie s  dvojčatami, ktoré preukázali veľké rozdiely vo výskyte celiakie u jednovaječných dvojčiat </w:t>
      </w:r>
      <w:r w:rsidR="007008F7">
        <w:rPr>
          <w:lang w:val="sk-SK"/>
        </w:rPr>
        <w:lastRenderedPageBreak/>
        <w:t>v porovn</w:t>
      </w:r>
      <w:r w:rsidR="00344995">
        <w:rPr>
          <w:lang w:val="sk-SK"/>
        </w:rPr>
        <w:t>a</w:t>
      </w:r>
      <w:r w:rsidR="007008F7">
        <w:rPr>
          <w:lang w:val="sk-SK"/>
        </w:rPr>
        <w:t xml:space="preserve">ní s HLA identickými dvojvaječnými dvojčatami. </w:t>
      </w:r>
      <w:r>
        <w:rPr>
          <w:lang w:val="sk-SK"/>
        </w:rPr>
        <w:t>Realizovali sa rozsiahle výskumy ľudského genómu,</w:t>
      </w:r>
      <w:r w:rsidR="00160229">
        <w:rPr>
          <w:lang w:val="sk-SK"/>
        </w:rPr>
        <w:t xml:space="preserve"> pri ktorých sa dosiaľ identifikovalo 39 nonHLA lok</w:t>
      </w:r>
      <w:r w:rsidR="00784308">
        <w:rPr>
          <w:lang w:val="sk-SK"/>
        </w:rPr>
        <w:t>usov</w:t>
      </w:r>
      <w:r w:rsidR="00160229">
        <w:rPr>
          <w:lang w:val="sk-SK"/>
        </w:rPr>
        <w:t xml:space="preserve"> predisponujúcich celiakiu. Väčšina z nich nie je špecifická </w:t>
      </w:r>
      <w:r w:rsidR="00EF062C">
        <w:rPr>
          <w:lang w:val="sk-SK"/>
        </w:rPr>
        <w:t xml:space="preserve">len </w:t>
      </w:r>
      <w:r w:rsidR="00160229">
        <w:rPr>
          <w:lang w:val="sk-SK"/>
        </w:rPr>
        <w:t xml:space="preserve">pre celiakiu, </w:t>
      </w:r>
      <w:r w:rsidR="00EF062C">
        <w:rPr>
          <w:lang w:val="sk-SK"/>
        </w:rPr>
        <w:t xml:space="preserve">ale </w:t>
      </w:r>
      <w:r w:rsidR="00160229">
        <w:rPr>
          <w:lang w:val="sk-SK"/>
        </w:rPr>
        <w:t>súvisia aj s inými porucham</w:t>
      </w:r>
      <w:r w:rsidR="00784308">
        <w:rPr>
          <w:lang w:val="sk-SK"/>
        </w:rPr>
        <w:t xml:space="preserve">i </w:t>
      </w:r>
      <w:r w:rsidRPr="0029212E">
        <w:rPr>
          <w:b/>
          <w:lang w:val="sk-SK"/>
        </w:rPr>
        <w:t>(</w:t>
      </w:r>
      <w:r w:rsidR="00FB03E0" w:rsidRPr="00111A6B">
        <w:rPr>
          <w:b/>
          <w:lang w:val="sk-SK"/>
        </w:rPr>
        <w:t xml:space="preserve">van Heel </w:t>
      </w:r>
      <w:r w:rsidR="005A5D18" w:rsidRPr="00111A6B">
        <w:rPr>
          <w:b/>
          <w:lang w:val="sk-SK"/>
        </w:rPr>
        <w:t>et al</w:t>
      </w:r>
      <w:r w:rsidR="00FB03E0" w:rsidRPr="00111A6B">
        <w:rPr>
          <w:b/>
          <w:lang w:val="sk-SK"/>
        </w:rPr>
        <w:t xml:space="preserve">., </w:t>
      </w:r>
      <w:r w:rsidRPr="00111A6B">
        <w:rPr>
          <w:b/>
          <w:lang w:val="sk-SK"/>
        </w:rPr>
        <w:t>200</w:t>
      </w:r>
      <w:r w:rsidR="00111A6B">
        <w:rPr>
          <w:b/>
          <w:lang w:val="sk-SK"/>
        </w:rPr>
        <w:t>5</w:t>
      </w:r>
      <w:r w:rsidR="00EF062C">
        <w:rPr>
          <w:b/>
          <w:lang w:val="sk-SK"/>
        </w:rPr>
        <w:t xml:space="preserve">; Trynka </w:t>
      </w:r>
      <w:r w:rsidR="005A5D18">
        <w:rPr>
          <w:b/>
          <w:lang w:val="sk-SK"/>
        </w:rPr>
        <w:t>et al</w:t>
      </w:r>
      <w:r w:rsidR="00EF062C">
        <w:rPr>
          <w:b/>
          <w:lang w:val="sk-SK"/>
        </w:rPr>
        <w:t>., 2010</w:t>
      </w:r>
      <w:r w:rsidR="007008F7">
        <w:rPr>
          <w:b/>
          <w:lang w:val="sk-SK"/>
        </w:rPr>
        <w:t xml:space="preserve">; Koning </w:t>
      </w:r>
      <w:r w:rsidR="005A5D18">
        <w:rPr>
          <w:b/>
          <w:lang w:val="sk-SK"/>
        </w:rPr>
        <w:t>et al.</w:t>
      </w:r>
      <w:r w:rsidR="007008F7">
        <w:rPr>
          <w:b/>
          <w:lang w:val="sk-SK"/>
        </w:rPr>
        <w:t>, 2005</w:t>
      </w:r>
      <w:r w:rsidR="00FB03E0">
        <w:rPr>
          <w:b/>
          <w:lang w:val="sk-SK"/>
        </w:rPr>
        <w:t xml:space="preserve">; Karell </w:t>
      </w:r>
      <w:r w:rsidR="005A5D18">
        <w:rPr>
          <w:b/>
          <w:lang w:val="sk-SK"/>
        </w:rPr>
        <w:t>et al</w:t>
      </w:r>
      <w:r w:rsidR="00FB03E0">
        <w:rPr>
          <w:b/>
          <w:lang w:val="sk-SK"/>
        </w:rPr>
        <w:t>., 2003; Heap, van Heel, 2009</w:t>
      </w:r>
      <w:r w:rsidRPr="0029212E">
        <w:rPr>
          <w:b/>
          <w:lang w:val="sk-SK"/>
        </w:rPr>
        <w:t>).</w:t>
      </w:r>
    </w:p>
    <w:p w:rsidR="008E61C4" w:rsidRDefault="008E61C4" w:rsidP="00A1230C">
      <w:pPr>
        <w:pStyle w:val="PotText"/>
        <w:rPr>
          <w:b/>
          <w:lang w:val="sk-SK"/>
        </w:rPr>
      </w:pPr>
      <w:r>
        <w:rPr>
          <w:lang w:val="sk-SK"/>
        </w:rPr>
        <w:tab/>
        <w:t>Existuje viac</w:t>
      </w:r>
      <w:r w:rsidR="00F44FB7">
        <w:rPr>
          <w:lang w:val="sk-SK"/>
        </w:rPr>
        <w:t>ero</w:t>
      </w:r>
      <w:r>
        <w:rPr>
          <w:lang w:val="sk-SK"/>
        </w:rPr>
        <w:t xml:space="preserve"> typov genetických testov, ktoré možno použiť v diagnostike celiakie. Na vyšetrenie je potrebná periférna krv alebo bunkový ster zo sliznice ústnej dutiny. Genetické vyšetrenie nemôže stanoviť diagnózu, ale preukáže, či pacient má, alebo nemá gény predisponujúce vznik ochorenia. </w:t>
      </w:r>
      <w:r w:rsidR="00784308">
        <w:rPr>
          <w:lang w:val="sk-SK"/>
        </w:rPr>
        <w:t>Približne 25-</w:t>
      </w:r>
      <w:r>
        <w:rPr>
          <w:lang w:val="sk-SK"/>
        </w:rPr>
        <w:t>40</w:t>
      </w:r>
      <w:r w:rsidR="00D06F20">
        <w:rPr>
          <w:lang w:val="sk-SK"/>
        </w:rPr>
        <w:t xml:space="preserve"> </w:t>
      </w:r>
      <w:r>
        <w:rPr>
          <w:lang w:val="sk-SK"/>
        </w:rPr>
        <w:t xml:space="preserve">% zdravej populácie má aspoň jeden z uvedených génov. Naopak, neprítomnosť týchto génov s vysokou pravdepodobnosťou vylučuje prítomnosť celiakie </w:t>
      </w:r>
      <w:r w:rsidRPr="0029212E">
        <w:rPr>
          <w:b/>
          <w:lang w:val="sk-SK"/>
        </w:rPr>
        <w:t xml:space="preserve">(Stachová </w:t>
      </w:r>
      <w:r w:rsidR="005A5D18">
        <w:rPr>
          <w:b/>
          <w:lang w:val="sk-SK"/>
        </w:rPr>
        <w:t>et al</w:t>
      </w:r>
      <w:r w:rsidRPr="0029212E">
        <w:rPr>
          <w:b/>
          <w:lang w:val="sk-SK"/>
        </w:rPr>
        <w:t>., 2009).</w:t>
      </w:r>
    </w:p>
    <w:p w:rsidR="00F44FB7" w:rsidRPr="0029212E" w:rsidRDefault="00F44FB7" w:rsidP="00A1230C">
      <w:pPr>
        <w:pStyle w:val="PotText"/>
        <w:rPr>
          <w:b/>
          <w:lang w:val="sk-SK"/>
        </w:rPr>
      </w:pPr>
    </w:p>
    <w:p w:rsidR="008E61C4" w:rsidRPr="008E61C4" w:rsidRDefault="008E61C4" w:rsidP="00D244DB">
      <w:pPr>
        <w:pStyle w:val="PotText"/>
        <w:outlineLvl w:val="0"/>
        <w:rPr>
          <w:i/>
          <w:lang w:val="sk-SK"/>
        </w:rPr>
      </w:pPr>
      <w:r w:rsidRPr="008E61C4">
        <w:rPr>
          <w:i/>
          <w:lang w:val="sk-SK"/>
        </w:rPr>
        <w:t>ETIOPATOGENÉZA</w:t>
      </w:r>
    </w:p>
    <w:p w:rsidR="008E61C4" w:rsidRPr="0029212E" w:rsidRDefault="00D06F20" w:rsidP="00A1230C">
      <w:pPr>
        <w:pStyle w:val="PotText"/>
        <w:rPr>
          <w:b/>
          <w:lang w:val="sk-SK"/>
        </w:rPr>
      </w:pPr>
      <w:r>
        <w:tab/>
      </w:r>
      <w:r w:rsidR="008E61C4">
        <w:t>Kľúčovým faktorom vonkajšieho prostredia nevyhnutným pre vznik ochorenia je lepok.</w:t>
      </w:r>
      <w:r w:rsidR="004A7AB0">
        <w:t xml:space="preserve"> </w:t>
      </w:r>
      <w:r w:rsidR="008E61C4">
        <w:t>Proteíny lepku interagujú s génmi pre celiakiu a spúšťajú abnormálnu imunitnú odpoveď, v dôsledku ktorej dochádza prostredníctvom aktivovaných imunitných buniek (T-lymfocytov a ich produktov) k poškodeniu sliznice tenkého čreva</w:t>
      </w:r>
      <w:r w:rsidR="00DB3372">
        <w:t>. N</w:t>
      </w:r>
      <w:r w:rsidR="00DB3372" w:rsidRPr="00DB3372">
        <w:t>ejde priamo o alergiu na lepok, pretože imunitný systém vytvára protilátky súčasne aj proti endomýziu, časti črevnej svaloviny, ktorá je tý</w:t>
      </w:r>
      <w:r w:rsidR="00DB3372">
        <w:t xml:space="preserve">mito protilátkami poškodzovaná </w:t>
      </w:r>
      <w:r w:rsidR="008E61C4" w:rsidRPr="0029212E">
        <w:rPr>
          <w:b/>
          <w:lang w:val="sk-SK"/>
        </w:rPr>
        <w:t xml:space="preserve">(Stachová </w:t>
      </w:r>
      <w:r w:rsidR="005A5D18">
        <w:rPr>
          <w:b/>
          <w:lang w:val="sk-SK"/>
        </w:rPr>
        <w:t>et al</w:t>
      </w:r>
      <w:r w:rsidR="008E61C4" w:rsidRPr="0029212E">
        <w:rPr>
          <w:b/>
          <w:lang w:val="sk-SK"/>
        </w:rPr>
        <w:t>., 2009).</w:t>
      </w:r>
    </w:p>
    <w:p w:rsidR="008D78B1" w:rsidRPr="008D78B1" w:rsidRDefault="008E61C4" w:rsidP="00A1230C">
      <w:pPr>
        <w:pStyle w:val="PotText"/>
        <w:rPr>
          <w:b/>
          <w:lang w:val="sk-SK"/>
        </w:rPr>
      </w:pPr>
      <w:r>
        <w:rPr>
          <w:lang w:val="sk-SK"/>
        </w:rPr>
        <w:tab/>
      </w:r>
      <w:r w:rsidR="004A7AB0">
        <w:rPr>
          <w:lang w:val="sk-SK"/>
        </w:rPr>
        <w:t xml:space="preserve">Lepok je </w:t>
      </w:r>
      <w:r w:rsidR="004A7AB0">
        <w:t xml:space="preserve">komplex </w:t>
      </w:r>
      <w:r w:rsidR="00C32807">
        <w:t xml:space="preserve">zásobných bielkovín </w:t>
      </w:r>
      <w:r w:rsidR="004A7AB0">
        <w:t>obsiahnutý v obilných zrnách. Možno ho rozdeliť etanolom na rozpustnú frakciu</w:t>
      </w:r>
      <w:r w:rsidR="00992F24">
        <w:t>,</w:t>
      </w:r>
      <w:r w:rsidR="004A7AB0">
        <w:t xml:space="preserve"> prolamíny a nerozpustnú</w:t>
      </w:r>
      <w:r w:rsidR="00992F24">
        <w:t>,</w:t>
      </w:r>
      <w:r w:rsidR="004A7AB0">
        <w:t xml:space="preserve"> gluteníny. </w:t>
      </w:r>
      <w:r>
        <w:rPr>
          <w:lang w:val="sk-SK"/>
        </w:rPr>
        <w:t xml:space="preserve">Prolamíny </w:t>
      </w:r>
      <w:r w:rsidR="004A7AB0">
        <w:rPr>
          <w:lang w:val="sk-SK"/>
        </w:rPr>
        <w:t>majú u cereálií rozličné názvy:</w:t>
      </w:r>
      <w:r>
        <w:rPr>
          <w:lang w:val="sk-SK"/>
        </w:rPr>
        <w:t xml:space="preserve"> </w:t>
      </w:r>
      <w:r w:rsidR="004A7AB0">
        <w:rPr>
          <w:lang w:val="sk-SK"/>
        </w:rPr>
        <w:t>g</w:t>
      </w:r>
      <w:r>
        <w:rPr>
          <w:lang w:val="sk-SK"/>
        </w:rPr>
        <w:t xml:space="preserve">liadíny v pšenici, hordeíny </w:t>
      </w:r>
      <w:r w:rsidR="00D06F20">
        <w:rPr>
          <w:lang w:val="sk-SK"/>
        </w:rPr>
        <w:t>v</w:t>
      </w:r>
      <w:r>
        <w:rPr>
          <w:lang w:val="sk-SK"/>
        </w:rPr>
        <w:t xml:space="preserve"> jačmeni, sekalíny </w:t>
      </w:r>
      <w:r w:rsidR="00D06F20">
        <w:rPr>
          <w:lang w:val="sk-SK"/>
        </w:rPr>
        <w:t xml:space="preserve">v </w:t>
      </w:r>
      <w:r>
        <w:rPr>
          <w:lang w:val="sk-SK"/>
        </w:rPr>
        <w:t>raži, ave</w:t>
      </w:r>
      <w:r w:rsidR="00D06F20">
        <w:rPr>
          <w:lang w:val="sk-SK"/>
        </w:rPr>
        <w:t>n</w:t>
      </w:r>
      <w:r>
        <w:rPr>
          <w:lang w:val="sk-SK"/>
        </w:rPr>
        <w:t xml:space="preserve">íny v ovse. </w:t>
      </w:r>
      <w:r w:rsidR="004A7AB0">
        <w:rPr>
          <w:lang w:val="sk-SK"/>
        </w:rPr>
        <w:tab/>
        <w:t xml:space="preserve">Gliadíny sa ďalej delia na alfa, beta, gama a omega podľa relatívnej elektroforetickej rýchlosti alebo podľa poradia aminokyselín na </w:t>
      </w:r>
      <w:r w:rsidR="008D78B1">
        <w:rPr>
          <w:lang w:val="sk-SK"/>
        </w:rPr>
        <w:t>N-terminálnom reťazci</w:t>
      </w:r>
      <w:r w:rsidR="00C32807">
        <w:rPr>
          <w:lang w:val="sk-SK"/>
        </w:rPr>
        <w:t>. Všetky štyri subf</w:t>
      </w:r>
      <w:r w:rsidR="00992F24">
        <w:rPr>
          <w:lang w:val="sk-SK"/>
        </w:rPr>
        <w:t>r</w:t>
      </w:r>
      <w:r w:rsidR="00C32807">
        <w:rPr>
          <w:lang w:val="sk-SK"/>
        </w:rPr>
        <w:t>akcie gliadínu zhoršujú celiakiu. Štúdie poukazujú aj na úlohu nízko- a vysokomolekulárnych glutenínov v patogenéze celiakie</w:t>
      </w:r>
      <w:r w:rsidR="008D78B1">
        <w:rPr>
          <w:lang w:val="sk-SK"/>
        </w:rPr>
        <w:t xml:space="preserve"> </w:t>
      </w:r>
      <w:r w:rsidR="008D78B1" w:rsidRPr="008D78B1">
        <w:rPr>
          <w:b/>
          <w:lang w:val="sk-SK"/>
        </w:rPr>
        <w:t>(Ciclitira et al., 2005</w:t>
      </w:r>
      <w:r w:rsidR="00C552D0">
        <w:rPr>
          <w:b/>
          <w:lang w:val="sk-SK"/>
        </w:rPr>
        <w:t>b</w:t>
      </w:r>
      <w:r w:rsidR="008D78B1" w:rsidRPr="008D78B1">
        <w:rPr>
          <w:b/>
          <w:lang w:val="sk-SK"/>
        </w:rPr>
        <w:t>; Pekárková et al., 2009</w:t>
      </w:r>
      <w:r w:rsidR="00C32807">
        <w:rPr>
          <w:b/>
          <w:lang w:val="sk-SK"/>
        </w:rPr>
        <w:t>; Koning et al., 2005</w:t>
      </w:r>
      <w:r w:rsidR="008D78B1" w:rsidRPr="008D78B1">
        <w:rPr>
          <w:b/>
          <w:lang w:val="sk-SK"/>
        </w:rPr>
        <w:t>).</w:t>
      </w:r>
    </w:p>
    <w:p w:rsidR="008E61C4" w:rsidRPr="0029212E" w:rsidRDefault="004A7AB0" w:rsidP="00A1230C">
      <w:pPr>
        <w:pStyle w:val="PotText"/>
        <w:rPr>
          <w:b/>
          <w:lang w:val="sk-SK"/>
        </w:rPr>
      </w:pPr>
      <w:r>
        <w:rPr>
          <w:lang w:val="sk-SK"/>
        </w:rPr>
        <w:t xml:space="preserve"> </w:t>
      </w:r>
      <w:r w:rsidR="00004CA7">
        <w:rPr>
          <w:lang w:val="sk-SK"/>
        </w:rPr>
        <w:t>Gliadíny ťažko podliehajú tráveniu; takmer rezistentný na trávenie a enzymatickú degradáciu je 33 aminokyselinový fragment alfa-gliadínu, ktorý je naopak výborným substrátom</w:t>
      </w:r>
      <w:r w:rsidR="008D78B1">
        <w:rPr>
          <w:lang w:val="sk-SK"/>
        </w:rPr>
        <w:t xml:space="preserve"> pre tkanivovú transglutaminázu</w:t>
      </w:r>
      <w:r w:rsidR="00004CA7">
        <w:rPr>
          <w:lang w:val="sk-SK"/>
        </w:rPr>
        <w:t xml:space="preserve"> </w:t>
      </w:r>
      <w:r w:rsidR="00004CA7" w:rsidRPr="0029212E">
        <w:rPr>
          <w:b/>
          <w:lang w:val="sk-SK"/>
        </w:rPr>
        <w:t>(Stachová</w:t>
      </w:r>
      <w:r w:rsidR="005A5D18">
        <w:rPr>
          <w:b/>
          <w:lang w:val="sk-SK"/>
        </w:rPr>
        <w:t xml:space="preserve"> et al</w:t>
      </w:r>
      <w:r w:rsidR="00004CA7" w:rsidRPr="0029212E">
        <w:rPr>
          <w:b/>
          <w:lang w:val="sk-SK"/>
        </w:rPr>
        <w:t>., 2009; Krajčírová, 200</w:t>
      </w:r>
      <w:r w:rsidR="00DE2D56">
        <w:rPr>
          <w:b/>
          <w:lang w:val="sk-SK"/>
        </w:rPr>
        <w:t>7</w:t>
      </w:r>
      <w:r w:rsidR="00004CA7" w:rsidRPr="0029212E">
        <w:rPr>
          <w:b/>
          <w:lang w:val="sk-SK"/>
        </w:rPr>
        <w:t>).</w:t>
      </w:r>
    </w:p>
    <w:p w:rsidR="00635E90" w:rsidRPr="00CF4401" w:rsidRDefault="008D78B1" w:rsidP="00A1230C">
      <w:pPr>
        <w:pStyle w:val="PotText"/>
        <w:rPr>
          <w:b/>
          <w:lang w:val="sk-SK"/>
        </w:rPr>
      </w:pPr>
      <w:r>
        <w:rPr>
          <w:lang w:val="sk-SK"/>
        </w:rPr>
        <w:tab/>
        <w:t>Aj keď presná štruktúra častí gluténu, ktoré spôsobujú celiakiu, zostáva nejasná, výskum v tejto oblasti poukázal na zrejme kľúčovú úlohu vyššieho obsahu glutamínu</w:t>
      </w:r>
      <w:r w:rsidR="00F2086E">
        <w:rPr>
          <w:lang w:val="sk-SK"/>
        </w:rPr>
        <w:t xml:space="preserve"> a prolínu</w:t>
      </w:r>
      <w:r>
        <w:rPr>
          <w:lang w:val="sk-SK"/>
        </w:rPr>
        <w:t xml:space="preserve">. Dôkazom toho je, že úplná deamidácia gluténu odstráni jeho </w:t>
      </w:r>
      <w:r w:rsidR="00635E90">
        <w:rPr>
          <w:lang w:val="sk-SK"/>
        </w:rPr>
        <w:t xml:space="preserve">pre celiatikov </w:t>
      </w:r>
      <w:r>
        <w:rPr>
          <w:lang w:val="sk-SK"/>
        </w:rPr>
        <w:t>toxické vlas</w:t>
      </w:r>
      <w:r w:rsidR="008826A0">
        <w:rPr>
          <w:lang w:val="sk-SK"/>
        </w:rPr>
        <w:t>t</w:t>
      </w:r>
      <w:r>
        <w:rPr>
          <w:lang w:val="sk-SK"/>
        </w:rPr>
        <w:t>nosti. Avšak parciálna deamidácia zvyšuje citlivosť glutén-senzitívnych</w:t>
      </w:r>
      <w:r w:rsidR="00635E90">
        <w:rPr>
          <w:lang w:val="sk-SK"/>
        </w:rPr>
        <w:t xml:space="preserve"> T-buniek na tieto proteíny. Práve enzým tkanivová transglutamináza (tTG) zapríčiňuje selektívnu deamidáciu gluténových proteínov, čím zvyšuje ich účinok na glutén-senzitívne T-bunky u celiatikov </w:t>
      </w:r>
      <w:r w:rsidR="00635E90" w:rsidRPr="00CF4401">
        <w:rPr>
          <w:b/>
          <w:lang w:val="sk-SK"/>
        </w:rPr>
        <w:t>(Ciclitira et al. 2005</w:t>
      </w:r>
      <w:r w:rsidR="00C552D0">
        <w:rPr>
          <w:b/>
          <w:lang w:val="sk-SK"/>
        </w:rPr>
        <w:t>b</w:t>
      </w:r>
      <w:r w:rsidR="00635E90" w:rsidRPr="00CF4401">
        <w:rPr>
          <w:b/>
          <w:lang w:val="sk-SK"/>
        </w:rPr>
        <w:t xml:space="preserve">; </w:t>
      </w:r>
      <w:r w:rsidR="00F2086E">
        <w:rPr>
          <w:b/>
          <w:lang w:val="sk-SK"/>
        </w:rPr>
        <w:t>Koning et al., 2005).</w:t>
      </w:r>
    </w:p>
    <w:p w:rsidR="00F17AED" w:rsidRPr="0029212E" w:rsidRDefault="008D78B1" w:rsidP="00F17AED">
      <w:pPr>
        <w:pStyle w:val="PotText"/>
        <w:rPr>
          <w:b/>
          <w:lang w:val="sk-SK"/>
        </w:rPr>
      </w:pPr>
      <w:r>
        <w:rPr>
          <w:lang w:val="sk-SK"/>
        </w:rPr>
        <w:tab/>
      </w:r>
      <w:r w:rsidR="00004CA7">
        <w:rPr>
          <w:lang w:val="sk-SK"/>
        </w:rPr>
        <w:t>V etiopatogenéze celiakie sa faktory vonkajšieho prostredia uplatňujú zrejme ako spúšťače ochorenia. Samy osebe nevyvolávajú chor</w:t>
      </w:r>
      <w:r w:rsidR="00C729ED">
        <w:rPr>
          <w:lang w:val="sk-SK"/>
        </w:rPr>
        <w:t>obu, ale u predisponovaného jed</w:t>
      </w:r>
      <w:r w:rsidR="00004CA7">
        <w:rPr>
          <w:lang w:val="sk-SK"/>
        </w:rPr>
        <w:t>i</w:t>
      </w:r>
      <w:r w:rsidR="00C729ED">
        <w:rPr>
          <w:lang w:val="sk-SK"/>
        </w:rPr>
        <w:t>n</w:t>
      </w:r>
      <w:r w:rsidR="00004CA7">
        <w:rPr>
          <w:lang w:val="sk-SK"/>
        </w:rPr>
        <w:t>ca m</w:t>
      </w:r>
      <w:r w:rsidR="00B16C9A">
        <w:rPr>
          <w:lang w:val="sk-SK"/>
        </w:rPr>
        <w:t>ôžu spustiť jej rozvoj, či modu</w:t>
      </w:r>
      <w:r w:rsidR="00004CA7">
        <w:rPr>
          <w:lang w:val="sk-SK"/>
        </w:rPr>
        <w:t xml:space="preserve">lovať jeho priebeh. Najčastejšie opísané faktory sú rôzne infekcie – vírusové, parazitické, bakteriálne, prekonaný fyzický, či </w:t>
      </w:r>
      <w:r w:rsidR="00004CA7">
        <w:rPr>
          <w:lang w:val="sk-SK"/>
        </w:rPr>
        <w:lastRenderedPageBreak/>
        <w:t>psychický stres, gravidita, pôrod, dojčenie, operácie, tr</w:t>
      </w:r>
      <w:r w:rsidR="00F17AED">
        <w:rPr>
          <w:lang w:val="sk-SK"/>
        </w:rPr>
        <w:t xml:space="preserve">aumy, malignity </w:t>
      </w:r>
      <w:r w:rsidR="00F17AED" w:rsidRPr="0029212E">
        <w:rPr>
          <w:b/>
          <w:lang w:val="sk-SK"/>
        </w:rPr>
        <w:t xml:space="preserve">(Stachová </w:t>
      </w:r>
      <w:r w:rsidR="00F17AED">
        <w:rPr>
          <w:b/>
          <w:lang w:val="sk-SK"/>
        </w:rPr>
        <w:t>et al</w:t>
      </w:r>
      <w:r w:rsidR="00F17AED" w:rsidRPr="0029212E">
        <w:rPr>
          <w:b/>
          <w:lang w:val="sk-SK"/>
        </w:rPr>
        <w:t xml:space="preserve">., 2009; Accomando, </w:t>
      </w:r>
      <w:r w:rsidR="00F17AED">
        <w:rPr>
          <w:b/>
          <w:lang w:val="sk-SK"/>
        </w:rPr>
        <w:t>C</w:t>
      </w:r>
      <w:r w:rsidR="00F17AED" w:rsidRPr="0029212E">
        <w:rPr>
          <w:b/>
          <w:lang w:val="sk-SK"/>
        </w:rPr>
        <w:t>ataldo, 2004</w:t>
      </w:r>
      <w:r w:rsidR="00F17AED">
        <w:rPr>
          <w:b/>
          <w:lang w:val="sk-SK"/>
        </w:rPr>
        <w:t>; Koning et al., 2005; Pekárková et al., 2009</w:t>
      </w:r>
      <w:r w:rsidR="00F17AED" w:rsidRPr="0029212E">
        <w:rPr>
          <w:b/>
          <w:lang w:val="sk-SK"/>
        </w:rPr>
        <w:t>).</w:t>
      </w:r>
    </w:p>
    <w:p w:rsidR="00004CA7" w:rsidRPr="0029212E" w:rsidRDefault="00F17AED" w:rsidP="00A1230C">
      <w:pPr>
        <w:pStyle w:val="PotText"/>
        <w:rPr>
          <w:b/>
          <w:lang w:val="sk-SK"/>
        </w:rPr>
      </w:pPr>
      <w:r>
        <w:rPr>
          <w:lang w:val="sk-SK"/>
        </w:rPr>
        <w:tab/>
      </w:r>
      <w:r w:rsidR="00004CA7">
        <w:rPr>
          <w:lang w:val="sk-SK"/>
        </w:rPr>
        <w:t xml:space="preserve">Veľmi dôležitým sa ukazuje dojčenie, jeho dĺžka a prípadne zloženie náhradnej dojčenskej výživy. </w:t>
      </w:r>
      <w:r w:rsidR="00E34819">
        <w:rPr>
          <w:lang w:val="sk-SK"/>
        </w:rPr>
        <w:t xml:space="preserve">Lepok je vhodné zaviesť do výživy najskôr po ukončení 4. </w:t>
      </w:r>
      <w:r w:rsidR="00C729ED">
        <w:rPr>
          <w:lang w:val="sk-SK"/>
        </w:rPr>
        <w:t>a</w:t>
      </w:r>
      <w:r w:rsidR="00E34819">
        <w:rPr>
          <w:lang w:val="sk-SK"/>
        </w:rPr>
        <w:t xml:space="preserve"> najneskôr do konca 7. </w:t>
      </w:r>
      <w:r w:rsidR="00C729ED">
        <w:rPr>
          <w:lang w:val="sk-SK"/>
        </w:rPr>
        <w:t>mesiaca veku dieť</w:t>
      </w:r>
      <w:r w:rsidR="00E34819">
        <w:rPr>
          <w:lang w:val="sk-SK"/>
        </w:rPr>
        <w:t xml:space="preserve">aťa, pričom je dôležité v čase zavádzania lepku do stravy pokračovať v dojčení. Bolo dokázané, že deti, ktoré matky dojčili aspoň do obdobia zavedenia lepku do stravy, mali významne nižšie riziko vzniku celiakie. Súčasné porovnávacie štúdie tiež poukazujú na vplyv zloženia pokračovacej dojčenskej výživy. V krajinách, kde tieto výživy obsahujú vysoký podiel prolamínov (Švédsko, Taliansko), je prevalencia celiakie vyššia ako v krajinách, v ktorých dojčenské výživy majú nižší obsah prolamínov (Fínsko, Dánsko), a to aj napriek rovnakému genotypovému zloženiu obyvateľstva </w:t>
      </w:r>
      <w:r w:rsidR="00E34819" w:rsidRPr="0029212E">
        <w:rPr>
          <w:b/>
          <w:lang w:val="sk-SK"/>
        </w:rPr>
        <w:t xml:space="preserve">(Stachová </w:t>
      </w:r>
      <w:r w:rsidR="005A5D18">
        <w:rPr>
          <w:b/>
          <w:lang w:val="sk-SK"/>
        </w:rPr>
        <w:t>et al</w:t>
      </w:r>
      <w:r w:rsidR="00E34819" w:rsidRPr="0029212E">
        <w:rPr>
          <w:b/>
          <w:lang w:val="sk-SK"/>
        </w:rPr>
        <w:t xml:space="preserve">., 2009; Accomando, </w:t>
      </w:r>
      <w:r w:rsidR="005A5D18">
        <w:rPr>
          <w:b/>
          <w:lang w:val="sk-SK"/>
        </w:rPr>
        <w:t>C</w:t>
      </w:r>
      <w:r w:rsidR="00E34819" w:rsidRPr="0029212E">
        <w:rPr>
          <w:b/>
          <w:lang w:val="sk-SK"/>
        </w:rPr>
        <w:t>ataldo, 2004).</w:t>
      </w:r>
    </w:p>
    <w:p w:rsidR="00E34819" w:rsidRDefault="00E34819" w:rsidP="00A1230C">
      <w:pPr>
        <w:pStyle w:val="PotText"/>
        <w:rPr>
          <w:lang w:val="sk-SK"/>
        </w:rPr>
      </w:pPr>
    </w:p>
    <w:p w:rsidR="007E2EA5" w:rsidRPr="005D37AE" w:rsidRDefault="007E2EA5" w:rsidP="00D244DB">
      <w:pPr>
        <w:pStyle w:val="PotText"/>
        <w:outlineLvl w:val="0"/>
        <w:rPr>
          <w:b/>
          <w:caps/>
          <w:sz w:val="22"/>
          <w:szCs w:val="22"/>
          <w:lang w:val="sk-SK"/>
        </w:rPr>
      </w:pPr>
      <w:r w:rsidRPr="005D37AE">
        <w:rPr>
          <w:b/>
          <w:caps/>
          <w:sz w:val="22"/>
          <w:szCs w:val="22"/>
          <w:lang w:val="sk-SK"/>
        </w:rPr>
        <w:t>Diagnostika</w:t>
      </w:r>
    </w:p>
    <w:p w:rsidR="007E2EA5" w:rsidRDefault="005D37AE" w:rsidP="00A1230C">
      <w:pPr>
        <w:pStyle w:val="PotText"/>
        <w:rPr>
          <w:lang w:val="sk-SK"/>
        </w:rPr>
      </w:pPr>
      <w:r>
        <w:rPr>
          <w:lang w:val="sk-SK"/>
        </w:rPr>
        <w:tab/>
      </w:r>
      <w:r w:rsidR="007E2EA5">
        <w:rPr>
          <w:lang w:val="sk-SK"/>
        </w:rPr>
        <w:t>Dosiaľ neexistuje žiaden test un</w:t>
      </w:r>
      <w:r w:rsidR="00B16C9A">
        <w:rPr>
          <w:lang w:val="sk-SK"/>
        </w:rPr>
        <w:t>i</w:t>
      </w:r>
      <w:r w:rsidR="007E2EA5">
        <w:rPr>
          <w:lang w:val="sk-SK"/>
        </w:rPr>
        <w:t>verzálne akcepto</w:t>
      </w:r>
      <w:r w:rsidR="002158E6">
        <w:rPr>
          <w:lang w:val="sk-SK"/>
        </w:rPr>
        <w:t>v</w:t>
      </w:r>
      <w:r w:rsidR="00B16C9A">
        <w:rPr>
          <w:lang w:val="sk-SK"/>
        </w:rPr>
        <w:t>aný ako štandard n</w:t>
      </w:r>
      <w:r w:rsidR="007E2EA5">
        <w:rPr>
          <w:lang w:val="sk-SK"/>
        </w:rPr>
        <w:t>a diagnostiku celiakie. Ale sérologické testy a biopsia tenkého čreva sú veľmi citlivé a špecifické najmä u pacientov s príznakmi celiakie a u ľudí so zvýšeným</w:t>
      </w:r>
      <w:r w:rsidR="00C729ED">
        <w:rPr>
          <w:lang w:val="sk-SK"/>
        </w:rPr>
        <w:t xml:space="preserve"> </w:t>
      </w:r>
      <w:r w:rsidR="007E2EA5">
        <w:rPr>
          <w:lang w:val="sk-SK"/>
        </w:rPr>
        <w:t>rizikom (napr. výskyt ochorenia v rodine a u ľudí s autoimunitnými ochoreniami)</w:t>
      </w:r>
      <w:r w:rsidR="00C22341">
        <w:rPr>
          <w:lang w:val="sk-SK"/>
        </w:rPr>
        <w:t xml:space="preserve"> </w:t>
      </w:r>
      <w:r w:rsidR="00C22341" w:rsidRPr="00C045E4">
        <w:rPr>
          <w:b/>
          <w:lang w:val="sk-SK"/>
        </w:rPr>
        <w:t xml:space="preserve">(Presutti </w:t>
      </w:r>
      <w:r w:rsidR="005A5D18">
        <w:rPr>
          <w:b/>
          <w:lang w:val="sk-SK"/>
        </w:rPr>
        <w:t>et al</w:t>
      </w:r>
      <w:r w:rsidR="007E2EA5" w:rsidRPr="00C045E4">
        <w:rPr>
          <w:b/>
          <w:lang w:val="sk-SK"/>
        </w:rPr>
        <w:t>.</w:t>
      </w:r>
      <w:r w:rsidR="00C22341" w:rsidRPr="00C045E4">
        <w:rPr>
          <w:b/>
          <w:lang w:val="sk-SK"/>
        </w:rPr>
        <w:t>, 2007).</w:t>
      </w:r>
      <w:r w:rsidR="007E2EA5">
        <w:rPr>
          <w:lang w:val="sk-SK"/>
        </w:rPr>
        <w:t xml:space="preserve"> </w:t>
      </w:r>
    </w:p>
    <w:p w:rsidR="007E2EA5" w:rsidRDefault="005D37AE" w:rsidP="00A1230C">
      <w:pPr>
        <w:pStyle w:val="PotText"/>
        <w:rPr>
          <w:lang w:val="sk-SK"/>
        </w:rPr>
      </w:pPr>
      <w:r>
        <w:rPr>
          <w:lang w:val="sk-SK"/>
        </w:rPr>
        <w:tab/>
      </w:r>
      <w:r w:rsidR="007E2EA5">
        <w:rPr>
          <w:lang w:val="sk-SK"/>
        </w:rPr>
        <w:t>Najčastejšími sérologickými markermi pri diagnóze celiakie sú imunoglobulín A </w:t>
      </w:r>
      <w:r w:rsidR="00C22341">
        <w:rPr>
          <w:lang w:val="sk-SK"/>
        </w:rPr>
        <w:t xml:space="preserve">(IgA) </w:t>
      </w:r>
      <w:r w:rsidR="007E2EA5">
        <w:rPr>
          <w:lang w:val="sk-SK"/>
        </w:rPr>
        <w:t xml:space="preserve">protilátky </w:t>
      </w:r>
      <w:r w:rsidR="00C22341">
        <w:rPr>
          <w:lang w:val="sk-SK"/>
        </w:rPr>
        <w:t xml:space="preserve">proti endomýziu </w:t>
      </w:r>
      <w:r w:rsidR="007E2EA5">
        <w:rPr>
          <w:lang w:val="sk-SK"/>
        </w:rPr>
        <w:t xml:space="preserve">a IgA </w:t>
      </w:r>
      <w:r w:rsidR="00C22341">
        <w:rPr>
          <w:lang w:val="sk-SK"/>
        </w:rPr>
        <w:t xml:space="preserve">protilátky proti </w:t>
      </w:r>
      <w:r w:rsidR="00301EF2">
        <w:rPr>
          <w:lang w:val="sk-SK"/>
        </w:rPr>
        <w:t>tkanivovej transglutamináze</w:t>
      </w:r>
      <w:r w:rsidR="007E2EA5">
        <w:rPr>
          <w:lang w:val="sk-SK"/>
        </w:rPr>
        <w:t xml:space="preserve"> (tTG). Testovanie na gliadí</w:t>
      </w:r>
      <w:r w:rsidR="00301EF2">
        <w:rPr>
          <w:lang w:val="sk-SK"/>
        </w:rPr>
        <w:t>nové protilátky sa neodporúča</w:t>
      </w:r>
      <w:r w:rsidR="007E2EA5">
        <w:rPr>
          <w:lang w:val="sk-SK"/>
        </w:rPr>
        <w:t xml:space="preserve"> kvôl</w:t>
      </w:r>
      <w:r w:rsidR="00C22341">
        <w:rPr>
          <w:lang w:val="sk-SK"/>
        </w:rPr>
        <w:t>i nizkej citlivosti a špecifi</w:t>
      </w:r>
      <w:r w:rsidR="00301EF2">
        <w:rPr>
          <w:lang w:val="sk-SK"/>
        </w:rPr>
        <w:t>ci</w:t>
      </w:r>
      <w:r w:rsidR="00C22341">
        <w:rPr>
          <w:lang w:val="sk-SK"/>
        </w:rPr>
        <w:t xml:space="preserve">te </w:t>
      </w:r>
      <w:r w:rsidR="00C22341" w:rsidRPr="00C045E4">
        <w:rPr>
          <w:b/>
          <w:lang w:val="sk-SK"/>
        </w:rPr>
        <w:t xml:space="preserve">(Presutti </w:t>
      </w:r>
      <w:r w:rsidR="005A5D18">
        <w:rPr>
          <w:b/>
          <w:lang w:val="sk-SK"/>
        </w:rPr>
        <w:t>et al</w:t>
      </w:r>
      <w:r w:rsidR="00C22341" w:rsidRPr="00C045E4">
        <w:rPr>
          <w:b/>
          <w:lang w:val="sk-SK"/>
        </w:rPr>
        <w:t xml:space="preserve">., 2007; Pekárková </w:t>
      </w:r>
      <w:r w:rsidR="005A5D18">
        <w:rPr>
          <w:b/>
          <w:lang w:val="sk-SK"/>
        </w:rPr>
        <w:t>et al</w:t>
      </w:r>
      <w:r w:rsidR="00C22341" w:rsidRPr="00C045E4">
        <w:rPr>
          <w:b/>
          <w:lang w:val="sk-SK"/>
        </w:rPr>
        <w:t>., 2009).</w:t>
      </w:r>
    </w:p>
    <w:p w:rsidR="00301EF2" w:rsidRDefault="00301EF2" w:rsidP="00A1230C">
      <w:pPr>
        <w:pStyle w:val="PotText"/>
        <w:rPr>
          <w:b/>
          <w:lang w:val="sk-SK"/>
        </w:rPr>
      </w:pPr>
      <w:r>
        <w:rPr>
          <w:lang w:val="sk-SK"/>
        </w:rPr>
        <w:tab/>
        <w:t>Selektívny deficit IgA sa vyskytuje u </w:t>
      </w:r>
      <w:r w:rsidR="00617721">
        <w:rPr>
          <w:lang w:val="sk-SK"/>
        </w:rPr>
        <w:t xml:space="preserve">2-5 % </w:t>
      </w:r>
      <w:r>
        <w:rPr>
          <w:lang w:val="sk-SK"/>
        </w:rPr>
        <w:t>celiatikov</w:t>
      </w:r>
      <w:r w:rsidR="00617721">
        <w:rPr>
          <w:lang w:val="sk-SK"/>
        </w:rPr>
        <w:t>,</w:t>
      </w:r>
      <w:r>
        <w:rPr>
          <w:lang w:val="sk-SK"/>
        </w:rPr>
        <w:t xml:space="preserve"> </w:t>
      </w:r>
      <w:r w:rsidR="00CB138F">
        <w:rPr>
          <w:lang w:val="sk-SK"/>
        </w:rPr>
        <w:t>takže časť pacientov by mohla pri sérologickej diagnostike vykazovať falošnú negativitu. P</w:t>
      </w:r>
      <w:r>
        <w:rPr>
          <w:lang w:val="sk-SK"/>
        </w:rPr>
        <w:t xml:space="preserve">reto je potrebné </w:t>
      </w:r>
      <w:r w:rsidR="00D6037C">
        <w:rPr>
          <w:lang w:val="sk-SK"/>
        </w:rPr>
        <w:t xml:space="preserve">aj </w:t>
      </w:r>
      <w:r w:rsidR="00CB138F">
        <w:rPr>
          <w:lang w:val="sk-SK"/>
        </w:rPr>
        <w:t xml:space="preserve">súčasné stanovenie hladiny celkového IgA. Najnovšie sa </w:t>
      </w:r>
      <w:r w:rsidR="005A5D18">
        <w:rPr>
          <w:lang w:val="sk-SK"/>
        </w:rPr>
        <w:t xml:space="preserve">používa </w:t>
      </w:r>
      <w:r w:rsidR="00CB138F">
        <w:rPr>
          <w:lang w:val="sk-SK"/>
        </w:rPr>
        <w:t xml:space="preserve">aj vyšetrenie protilátok triedy IgG. Vysoko špecifické a citlivé sú protilátky proti tkanivovej transglutamináze a proti endomýziu </w:t>
      </w:r>
      <w:r w:rsidR="00CB138F" w:rsidRPr="00C045E4">
        <w:rPr>
          <w:b/>
          <w:lang w:val="sk-SK"/>
        </w:rPr>
        <w:t xml:space="preserve">(Ciclitira, Moodie, 2003; Páv, 2006; Hill, 2004; Presutti </w:t>
      </w:r>
      <w:r w:rsidR="005A5D18">
        <w:rPr>
          <w:b/>
          <w:lang w:val="sk-SK"/>
        </w:rPr>
        <w:t>et al</w:t>
      </w:r>
      <w:r w:rsidR="00CB138F" w:rsidRPr="00C045E4">
        <w:rPr>
          <w:b/>
          <w:lang w:val="sk-SK"/>
        </w:rPr>
        <w:t>., 2007).</w:t>
      </w:r>
    </w:p>
    <w:p w:rsidR="00581254" w:rsidRDefault="00581254" w:rsidP="00A1230C">
      <w:pPr>
        <w:pStyle w:val="PotText"/>
        <w:rPr>
          <w:lang w:val="sk-SK"/>
        </w:rPr>
      </w:pPr>
      <w:r>
        <w:rPr>
          <w:lang w:val="sk-SK"/>
        </w:rPr>
        <w:tab/>
      </w:r>
    </w:p>
    <w:p w:rsidR="00B16C9A" w:rsidRDefault="003804AE" w:rsidP="006F37B0">
      <w:pPr>
        <w:pStyle w:val="PotText"/>
        <w:jc w:val="center"/>
        <w:rPr>
          <w:lang w:val="sk-SK"/>
        </w:rPr>
      </w:pPr>
      <w:r>
        <w:rPr>
          <w:noProof/>
          <w:lang w:val="sk-SK" w:eastAsia="sk-SK"/>
        </w:rPr>
        <w:drawing>
          <wp:inline distT="0" distB="0" distL="0" distR="0">
            <wp:extent cx="2210435" cy="1844675"/>
            <wp:effectExtent l="0" t="0" r="0" b="3175"/>
            <wp:docPr id="4" name="Obrázok 1" descr="http://www.aafp.org/afp/2007/1215/afp20071215p1795-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aafp.org/afp/2007/1215/afp20071215p1795-f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0435" cy="1844675"/>
                    </a:xfrm>
                    <a:prstGeom prst="rect">
                      <a:avLst/>
                    </a:prstGeom>
                    <a:noFill/>
                    <a:ln>
                      <a:noFill/>
                    </a:ln>
                  </pic:spPr>
                </pic:pic>
              </a:graphicData>
            </a:graphic>
          </wp:inline>
        </w:drawing>
      </w:r>
    </w:p>
    <w:p w:rsidR="002158E6" w:rsidRPr="00D6037C" w:rsidRDefault="003C4AC0" w:rsidP="003C4AC0">
      <w:pPr>
        <w:pStyle w:val="PotText"/>
        <w:rPr>
          <w:b/>
          <w:lang w:val="sk-SK"/>
        </w:rPr>
      </w:pPr>
      <w:r w:rsidRPr="00D6037C">
        <w:rPr>
          <w:b/>
          <w:lang w:val="sk-SK"/>
        </w:rPr>
        <w:t xml:space="preserve">Obrázok </w:t>
      </w:r>
      <w:r w:rsidR="006F37B0" w:rsidRPr="00D6037C">
        <w:rPr>
          <w:b/>
          <w:lang w:val="sk-SK"/>
        </w:rPr>
        <w:t>1</w:t>
      </w:r>
      <w:r w:rsidRPr="00D6037C">
        <w:rPr>
          <w:lang w:val="sk-SK"/>
        </w:rPr>
        <w:t xml:space="preserve"> Endoskopické a bioptické nále</w:t>
      </w:r>
      <w:r w:rsidR="00711B09" w:rsidRPr="00D6037C">
        <w:rPr>
          <w:lang w:val="sk-SK"/>
        </w:rPr>
        <w:t>zy u pacientov s a bez celiakie:</w:t>
      </w:r>
      <w:r w:rsidRPr="00D6037C">
        <w:rPr>
          <w:lang w:val="sk-SK"/>
        </w:rPr>
        <w:t xml:space="preserve"> (A, vľavo hore) endoskopická fotografia normálneho tenkého čreva. (B, vpravo hore) bioptická vzorka normálneho tenkého čreva. (C, vľavo dole)</w:t>
      </w:r>
      <w:r w:rsidR="00AE3E29" w:rsidRPr="00D6037C">
        <w:rPr>
          <w:lang w:val="sk-SK"/>
        </w:rPr>
        <w:t xml:space="preserve"> obrázok tenkého čreva celiatika s viditeľnou atrofiou víl. (D, vpravo dole)</w:t>
      </w:r>
      <w:r w:rsidRPr="00D6037C">
        <w:rPr>
          <w:lang w:val="sk-SK"/>
        </w:rPr>
        <w:t xml:space="preserve"> </w:t>
      </w:r>
      <w:r w:rsidR="00AE3E29" w:rsidRPr="00D6037C">
        <w:rPr>
          <w:lang w:val="sk-SK"/>
        </w:rPr>
        <w:t xml:space="preserve">bioptická vzorka tenkého čreva celiatika s atrofiou víl </w:t>
      </w:r>
      <w:r w:rsidR="00AE3E29" w:rsidRPr="00D6037C">
        <w:rPr>
          <w:b/>
          <w:lang w:val="sk-SK"/>
        </w:rPr>
        <w:t xml:space="preserve">(Presutti </w:t>
      </w:r>
      <w:r w:rsidR="005A5D18" w:rsidRPr="00D6037C">
        <w:rPr>
          <w:b/>
          <w:lang w:val="sk-SK"/>
        </w:rPr>
        <w:t>et al</w:t>
      </w:r>
      <w:r w:rsidR="00A15955" w:rsidRPr="00D6037C">
        <w:rPr>
          <w:b/>
          <w:lang w:val="sk-SK"/>
        </w:rPr>
        <w:t>., 2007)</w:t>
      </w:r>
    </w:p>
    <w:p w:rsidR="005A493F" w:rsidRDefault="00D6037C" w:rsidP="003C4AC0">
      <w:pPr>
        <w:pStyle w:val="PotText"/>
        <w:rPr>
          <w:lang w:val="sk-SK"/>
        </w:rPr>
      </w:pPr>
      <w:r>
        <w:rPr>
          <w:lang w:val="sk-SK"/>
        </w:rPr>
        <w:lastRenderedPageBreak/>
        <w:tab/>
        <w:t xml:space="preserve">Na potvrdenie diagnózy je nevyhnutná biopsia tenkého čreva a adekvátny histologický nález. Sú potrebné najmenej 4 vzorky tkaniva odobraté zo sliznice duodena pri gastrofibroskopickom vyšetrení, alebo jejuna pri enteroskopii </w:t>
      </w:r>
      <w:r w:rsidRPr="00C045E4">
        <w:rPr>
          <w:b/>
          <w:lang w:val="sk-SK"/>
        </w:rPr>
        <w:t xml:space="preserve">(Páv, 2006; Presutti </w:t>
      </w:r>
      <w:r>
        <w:rPr>
          <w:b/>
          <w:lang w:val="sk-SK"/>
        </w:rPr>
        <w:t>et al</w:t>
      </w:r>
      <w:r w:rsidRPr="00C045E4">
        <w:rPr>
          <w:b/>
          <w:lang w:val="sk-SK"/>
        </w:rPr>
        <w:t xml:space="preserve">., 2007; Ciclitira </w:t>
      </w:r>
      <w:r>
        <w:rPr>
          <w:b/>
          <w:lang w:val="sk-SK"/>
        </w:rPr>
        <w:t>et al</w:t>
      </w:r>
      <w:r w:rsidRPr="00C045E4">
        <w:rPr>
          <w:b/>
          <w:lang w:val="sk-SK"/>
        </w:rPr>
        <w:t>., 2005</w:t>
      </w:r>
      <w:r>
        <w:rPr>
          <w:b/>
          <w:lang w:val="sk-SK"/>
        </w:rPr>
        <w:t>a</w:t>
      </w:r>
      <w:r w:rsidRPr="00C045E4">
        <w:rPr>
          <w:b/>
          <w:lang w:val="sk-SK"/>
        </w:rPr>
        <w:t>).</w:t>
      </w:r>
    </w:p>
    <w:p w:rsidR="00D6037C" w:rsidRDefault="00D6037C" w:rsidP="00D6037C">
      <w:pPr>
        <w:pStyle w:val="PotText"/>
        <w:rPr>
          <w:b/>
          <w:color w:val="FF0000"/>
          <w:lang w:val="sk-SK"/>
        </w:rPr>
      </w:pPr>
      <w:r>
        <w:rPr>
          <w:lang w:val="sk-SK"/>
        </w:rPr>
        <w:tab/>
        <w:t xml:space="preserve">Vzorky sa hodnotia podľa Marshovej klasifikácie, ktorá popisuje 5 základných vzhľadov mukózy od typu 0, ktorý zodpovedá normálnej slizničnej a vilóznej architektúre až po typ IV, hypoplastický stupeň, charakteristický totálnou atrofiou víl a hypopláziou krýpt, ktorý sa môže rozvinúť do malígnych komplikácií </w:t>
      </w:r>
      <w:r w:rsidRPr="00C045E4">
        <w:rPr>
          <w:b/>
          <w:lang w:val="sk-SK"/>
        </w:rPr>
        <w:t xml:space="preserve">(Páv, 2006; Pekárková </w:t>
      </w:r>
      <w:r>
        <w:rPr>
          <w:b/>
          <w:lang w:val="sk-SK"/>
        </w:rPr>
        <w:t>et al</w:t>
      </w:r>
      <w:r w:rsidRPr="00C045E4">
        <w:rPr>
          <w:b/>
          <w:lang w:val="sk-SK"/>
        </w:rPr>
        <w:t xml:space="preserve">., 2009; Ciclitira </w:t>
      </w:r>
      <w:r>
        <w:rPr>
          <w:b/>
          <w:lang w:val="sk-SK"/>
        </w:rPr>
        <w:t>et al</w:t>
      </w:r>
      <w:r w:rsidRPr="00C045E4">
        <w:rPr>
          <w:b/>
          <w:lang w:val="sk-SK"/>
        </w:rPr>
        <w:t>., 2005</w:t>
      </w:r>
      <w:r>
        <w:rPr>
          <w:b/>
          <w:lang w:val="sk-SK"/>
        </w:rPr>
        <w:t>a</w:t>
      </w:r>
      <w:r w:rsidRPr="00C045E4">
        <w:rPr>
          <w:b/>
          <w:lang w:val="sk-SK"/>
        </w:rPr>
        <w:t>).</w:t>
      </w:r>
      <w:r>
        <w:rPr>
          <w:lang w:val="sk-SK"/>
        </w:rPr>
        <w:t xml:space="preserve"> Na obr. 1 sú zobrazené endoskopické a bioptické nálezy u pacientov s a bez celiakie. Lézie tenkého čreva sú charakteristické morfológiou, ale to sa môže líšiť od pacienta k pacientovi v závislosti od závažnosti a rozsahu ochorenia</w:t>
      </w:r>
      <w:r w:rsidR="00DE2D56">
        <w:rPr>
          <w:lang w:val="sk-SK"/>
        </w:rPr>
        <w:t>.</w:t>
      </w:r>
    </w:p>
    <w:p w:rsidR="00D6037C" w:rsidRDefault="00D6037C" w:rsidP="003C4AC0">
      <w:pPr>
        <w:pStyle w:val="PotText"/>
        <w:rPr>
          <w:lang w:val="sk-SK"/>
        </w:rPr>
      </w:pPr>
    </w:p>
    <w:p w:rsidR="00E34819" w:rsidRPr="00E34819" w:rsidRDefault="00E34819" w:rsidP="00581254">
      <w:pPr>
        <w:pStyle w:val="PotText"/>
        <w:rPr>
          <w:b/>
          <w:sz w:val="22"/>
          <w:szCs w:val="22"/>
          <w:lang w:val="sk-SK"/>
        </w:rPr>
      </w:pPr>
      <w:r w:rsidRPr="00E34819">
        <w:rPr>
          <w:b/>
          <w:sz w:val="22"/>
          <w:szCs w:val="22"/>
          <w:lang w:val="sk-SK"/>
        </w:rPr>
        <w:t>KLINICKÉ PREJAVY</w:t>
      </w:r>
    </w:p>
    <w:p w:rsidR="00A91E08" w:rsidRDefault="00E23ADB" w:rsidP="00A91E08">
      <w:pPr>
        <w:pStyle w:val="PotText"/>
        <w:rPr>
          <w:b/>
        </w:rPr>
      </w:pPr>
      <w:r>
        <w:t xml:space="preserve"> </w:t>
      </w:r>
      <w:r w:rsidR="006D698E">
        <w:t xml:space="preserve">Celiakia je autoimunitná porucha, ktorá </w:t>
      </w:r>
      <w:r w:rsidR="00BC6181">
        <w:t>vedie k zápalovým procesom v tenkom čreve</w:t>
      </w:r>
      <w:r w:rsidR="00D6037C">
        <w:t xml:space="preserve">. </w:t>
      </w:r>
      <w:r w:rsidR="006D698E">
        <w:t>Okrem črevných príznakov je spojená s rôznymi mimočrevnými komplikáciami, vrátane kostí a kožných ochorení, anémie,</w:t>
      </w:r>
      <w:r w:rsidR="00A50670">
        <w:t xml:space="preserve"> deficitu vitamínov a minerálov,</w:t>
      </w:r>
      <w:r w:rsidR="00BC6181">
        <w:t xml:space="preserve"> zníženou fertilitou,</w:t>
      </w:r>
      <w:r w:rsidR="006D698E">
        <w:t xml:space="preserve"> endokrinnými poruchami a neurologickými </w:t>
      </w:r>
      <w:r>
        <w:t>deficitmi</w:t>
      </w:r>
      <w:r w:rsidR="00BC6181">
        <w:t>, či Downovým syndrómom</w:t>
      </w:r>
      <w:r>
        <w:t xml:space="preserve"> </w:t>
      </w:r>
      <w:r w:rsidR="006D698E" w:rsidRPr="0029212E">
        <w:rPr>
          <w:b/>
        </w:rPr>
        <w:t xml:space="preserve">(Briani </w:t>
      </w:r>
      <w:r w:rsidR="005A5D18">
        <w:rPr>
          <w:b/>
          <w:lang w:val="sk-SK"/>
        </w:rPr>
        <w:t>et al</w:t>
      </w:r>
      <w:r w:rsidR="006D698E" w:rsidRPr="0029212E">
        <w:rPr>
          <w:b/>
        </w:rPr>
        <w:t>., 2008</w:t>
      </w:r>
      <w:r w:rsidR="00516B39">
        <w:rPr>
          <w:b/>
        </w:rPr>
        <w:t>; Samaroo et al., 2010</w:t>
      </w:r>
      <w:r w:rsidR="006D698E" w:rsidRPr="0029212E">
        <w:rPr>
          <w:b/>
        </w:rPr>
        <w:t>).</w:t>
      </w:r>
      <w:r w:rsidR="00A91E08">
        <w:rPr>
          <w:b/>
        </w:rPr>
        <w:t xml:space="preserve"> </w:t>
      </w:r>
    </w:p>
    <w:p w:rsidR="005A493F" w:rsidRPr="00C045E4" w:rsidRDefault="00A91E08" w:rsidP="005A493F">
      <w:pPr>
        <w:pStyle w:val="PotText"/>
        <w:rPr>
          <w:b/>
        </w:rPr>
      </w:pPr>
      <w:r>
        <w:rPr>
          <w:b/>
        </w:rPr>
        <w:tab/>
      </w:r>
      <w:r w:rsidR="00227E69" w:rsidRPr="00227E69">
        <w:t>Celiakia je spájaná</w:t>
      </w:r>
      <w:r w:rsidR="00227E69">
        <w:t xml:space="preserve"> s inými autoimunitnými ochoreniami ako sú </w:t>
      </w:r>
      <w:r w:rsidR="0025646E" w:rsidRPr="00227E69">
        <w:t xml:space="preserve">diabetes mellitus I. typu, </w:t>
      </w:r>
      <w:r w:rsidR="00227E69">
        <w:t>autoimunitná tyreotitída</w:t>
      </w:r>
      <w:r w:rsidR="0025646E" w:rsidRPr="00227E69">
        <w:t xml:space="preserve">, </w:t>
      </w:r>
      <w:r w:rsidR="00227E69">
        <w:t>autoimunitná hepatitída</w:t>
      </w:r>
      <w:r w:rsidR="0025646E" w:rsidRPr="00227E69">
        <w:t>,</w:t>
      </w:r>
      <w:r w:rsidR="00227E69">
        <w:t xml:space="preserve"> kardiomyopatia, Adisonova chor</w:t>
      </w:r>
      <w:r w:rsidR="00BC6181">
        <w:t xml:space="preserve">oba </w:t>
      </w:r>
      <w:r w:rsidR="0025646E" w:rsidRPr="00227E69">
        <w:t>(Tab. 2</w:t>
      </w:r>
      <w:r w:rsidR="00227E69">
        <w:t xml:space="preserve">) </w:t>
      </w:r>
      <w:r w:rsidR="00227E69" w:rsidRPr="00C045E4">
        <w:rPr>
          <w:b/>
        </w:rPr>
        <w:t xml:space="preserve">(Páv, 2006; Presutti </w:t>
      </w:r>
      <w:r w:rsidR="005A5D18">
        <w:rPr>
          <w:b/>
          <w:lang w:val="sk-SK"/>
        </w:rPr>
        <w:t>et al</w:t>
      </w:r>
      <w:r w:rsidR="00227E69" w:rsidRPr="00C045E4">
        <w:rPr>
          <w:b/>
        </w:rPr>
        <w:t>., 2007).</w:t>
      </w:r>
      <w:r w:rsidR="005A493F" w:rsidRPr="00C045E4">
        <w:rPr>
          <w:b/>
        </w:rPr>
        <w:t xml:space="preserve"> </w:t>
      </w:r>
      <w:r w:rsidR="00E745DD">
        <w:rPr>
          <w:b/>
        </w:rPr>
        <w:t xml:space="preserve"> </w:t>
      </w:r>
    </w:p>
    <w:p w:rsidR="004167FC" w:rsidRDefault="00617721" w:rsidP="004167FC">
      <w:pPr>
        <w:pStyle w:val="PotText"/>
        <w:rPr>
          <w:b/>
          <w:color w:val="000000"/>
        </w:rPr>
      </w:pPr>
      <w:r>
        <w:tab/>
      </w:r>
      <w:r w:rsidR="004167FC" w:rsidRPr="00227E69">
        <w:rPr>
          <w:color w:val="000000"/>
        </w:rPr>
        <w:t>Dühringova</w:t>
      </w:r>
      <w:r w:rsidR="004167FC">
        <w:rPr>
          <w:color w:val="000000"/>
        </w:rPr>
        <w:t xml:space="preserve"> herpetiformná dermatitída pred</w:t>
      </w:r>
      <w:r w:rsidR="004167FC" w:rsidRPr="00227E69">
        <w:rPr>
          <w:color w:val="000000"/>
        </w:rPr>
        <w:t>stavuje kožnú formu manifestácie celiakie</w:t>
      </w:r>
      <w:r w:rsidR="004167FC">
        <w:rPr>
          <w:color w:val="000000"/>
        </w:rPr>
        <w:t xml:space="preserve"> Zo zhubných nádorov sa u celiatikov najčastejšie vyskytuje nonHodgkinov lymfóm. Menej častý je karcinóm tenkého čreva, pažeráka alebo hltanu </w:t>
      </w:r>
      <w:r w:rsidR="004167FC" w:rsidRPr="00C045E4">
        <w:rPr>
          <w:b/>
          <w:color w:val="000000"/>
        </w:rPr>
        <w:t xml:space="preserve">(Pekárková </w:t>
      </w:r>
      <w:r w:rsidR="004167FC">
        <w:rPr>
          <w:b/>
          <w:color w:val="000000"/>
          <w:lang w:val="sk-SK"/>
        </w:rPr>
        <w:t>et al</w:t>
      </w:r>
      <w:r w:rsidR="004167FC" w:rsidRPr="00C045E4">
        <w:rPr>
          <w:b/>
          <w:color w:val="000000"/>
        </w:rPr>
        <w:t>., 2009; Catassi, 2004</w:t>
      </w:r>
      <w:r w:rsidR="00B12469">
        <w:rPr>
          <w:b/>
          <w:color w:val="000000"/>
        </w:rPr>
        <w:t>; Ciclitira, Moodie, 2003</w:t>
      </w:r>
      <w:r w:rsidR="00E745DD">
        <w:rPr>
          <w:b/>
          <w:color w:val="000000"/>
        </w:rPr>
        <w:t>; Presutti et al., 2007</w:t>
      </w:r>
      <w:r w:rsidR="004167FC" w:rsidRPr="00C045E4">
        <w:rPr>
          <w:b/>
          <w:color w:val="000000"/>
        </w:rPr>
        <w:t>).</w:t>
      </w:r>
    </w:p>
    <w:p w:rsidR="0015617A" w:rsidRDefault="0015617A" w:rsidP="00C25668">
      <w:pPr>
        <w:pStyle w:val="PotText"/>
        <w:rPr>
          <w:b/>
        </w:rPr>
      </w:pPr>
      <w:r>
        <w:tab/>
        <w:t xml:space="preserve">Mortalita u nekomplikovaných, správne liečených pacientov, sa nelíši od bežnej populácie. </w:t>
      </w:r>
      <w:r w:rsidR="00B12469">
        <w:t xml:space="preserve">U neliečených pacientov je  uvádzaná mortalita v rozmedzí 10-30 %, po zavedení bezlepkovej stravy klesá na 0,4 % </w:t>
      </w:r>
      <w:r w:rsidR="00B12469" w:rsidRPr="00B12469">
        <w:rPr>
          <w:b/>
        </w:rPr>
        <w:t>(Ciclitira et al., 2005</w:t>
      </w:r>
      <w:r w:rsidR="004249A7">
        <w:rPr>
          <w:b/>
        </w:rPr>
        <w:t>a</w:t>
      </w:r>
      <w:r w:rsidR="00B12469" w:rsidRPr="00B12469">
        <w:rPr>
          <w:b/>
        </w:rPr>
        <w:t>).</w:t>
      </w:r>
    </w:p>
    <w:p w:rsidR="006F37B0" w:rsidRPr="00D6037C" w:rsidRDefault="006F37B0" w:rsidP="00D6037C">
      <w:pPr>
        <w:tabs>
          <w:tab w:val="left" w:pos="113"/>
        </w:tabs>
        <w:jc w:val="both"/>
        <w:rPr>
          <w:color w:val="000000"/>
          <w:sz w:val="20"/>
          <w:szCs w:val="20"/>
        </w:rPr>
      </w:pPr>
      <w:r>
        <w:tab/>
      </w:r>
    </w:p>
    <w:p w:rsidR="00F64EAF" w:rsidRPr="001E68E1" w:rsidRDefault="00F64EAF" w:rsidP="00227E69">
      <w:pPr>
        <w:pStyle w:val="PotText"/>
      </w:pPr>
      <w:r>
        <w:rPr>
          <w:b/>
        </w:rPr>
        <w:t>T</w:t>
      </w:r>
      <w:r w:rsidRPr="001E68E1">
        <w:rPr>
          <w:b/>
        </w:rPr>
        <w:t>abuľka 2</w:t>
      </w:r>
      <w:r w:rsidRPr="001E68E1">
        <w:t xml:space="preserve"> Rizikové faktory celiakie </w:t>
      </w:r>
      <w:r w:rsidRPr="001E68E1">
        <w:rPr>
          <w:b/>
        </w:rPr>
        <w:t xml:space="preserve">(Presutti </w:t>
      </w:r>
      <w:r w:rsidR="005A5D18">
        <w:rPr>
          <w:b/>
          <w:lang w:val="sk-SK"/>
        </w:rPr>
        <w:t>et al</w:t>
      </w:r>
      <w:r w:rsidR="0025646E">
        <w:rPr>
          <w:b/>
        </w:rPr>
        <w:t>.</w:t>
      </w:r>
      <w:r w:rsidR="005A5D18">
        <w:rPr>
          <w:b/>
          <w:lang w:val="sk-SK"/>
        </w:rPr>
        <w:t>, 2007</w:t>
      </w:r>
      <w:r w:rsidR="0025646E">
        <w:rPr>
          <w:b/>
        </w:rPr>
        <w:t>)</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20"/>
      </w:tblGrid>
      <w:tr w:rsidR="00F64EAF" w:rsidRPr="00A00881">
        <w:tc>
          <w:tcPr>
            <w:tcW w:w="2340" w:type="dxa"/>
            <w:shd w:val="clear" w:color="auto" w:fill="auto"/>
          </w:tcPr>
          <w:p w:rsidR="00F64EAF" w:rsidRPr="00A00881" w:rsidRDefault="00F64EAF" w:rsidP="00F64EAF">
            <w:pPr>
              <w:rPr>
                <w:b/>
                <w:sz w:val="20"/>
                <w:szCs w:val="20"/>
              </w:rPr>
            </w:pPr>
            <w:r w:rsidRPr="00A00881">
              <w:rPr>
                <w:b/>
                <w:sz w:val="20"/>
                <w:szCs w:val="20"/>
              </w:rPr>
              <w:t>Rizikový faktor</w:t>
            </w:r>
          </w:p>
        </w:tc>
        <w:tc>
          <w:tcPr>
            <w:tcW w:w="2520" w:type="dxa"/>
            <w:shd w:val="clear" w:color="auto" w:fill="auto"/>
          </w:tcPr>
          <w:p w:rsidR="00F64EAF" w:rsidRPr="00A00881" w:rsidRDefault="00F64EAF" w:rsidP="00F64EAF">
            <w:pPr>
              <w:rPr>
                <w:b/>
                <w:sz w:val="20"/>
                <w:szCs w:val="20"/>
              </w:rPr>
            </w:pPr>
            <w:r w:rsidRPr="00A00881">
              <w:rPr>
                <w:b/>
                <w:sz w:val="20"/>
                <w:szCs w:val="20"/>
              </w:rPr>
              <w:t>Prevalencia celiakie (%)</w:t>
            </w:r>
          </w:p>
        </w:tc>
      </w:tr>
      <w:tr w:rsidR="00F64EAF" w:rsidRPr="00A00881">
        <w:tc>
          <w:tcPr>
            <w:tcW w:w="2340" w:type="dxa"/>
            <w:shd w:val="clear" w:color="auto" w:fill="auto"/>
          </w:tcPr>
          <w:p w:rsidR="00F64EAF" w:rsidRPr="00A00881" w:rsidRDefault="00F64EAF" w:rsidP="00F64EAF">
            <w:pPr>
              <w:rPr>
                <w:sz w:val="20"/>
                <w:szCs w:val="20"/>
              </w:rPr>
            </w:pPr>
            <w:r w:rsidRPr="00A00881">
              <w:rPr>
                <w:sz w:val="20"/>
                <w:szCs w:val="20"/>
              </w:rPr>
              <w:t>Dermatitis herpetiformis</w:t>
            </w:r>
          </w:p>
        </w:tc>
        <w:tc>
          <w:tcPr>
            <w:tcW w:w="2520" w:type="dxa"/>
            <w:shd w:val="clear" w:color="auto" w:fill="auto"/>
          </w:tcPr>
          <w:p w:rsidR="00F64EAF" w:rsidRPr="00A00881" w:rsidRDefault="00F64EAF" w:rsidP="00A00881">
            <w:pPr>
              <w:jc w:val="center"/>
              <w:rPr>
                <w:sz w:val="20"/>
                <w:szCs w:val="20"/>
              </w:rPr>
            </w:pPr>
            <w:r w:rsidRPr="00A00881">
              <w:rPr>
                <w:sz w:val="20"/>
                <w:szCs w:val="20"/>
              </w:rPr>
              <w:t>100</w:t>
            </w:r>
          </w:p>
        </w:tc>
      </w:tr>
      <w:tr w:rsidR="00F64EAF" w:rsidRPr="00A00881">
        <w:tc>
          <w:tcPr>
            <w:tcW w:w="2340" w:type="dxa"/>
            <w:shd w:val="clear" w:color="auto" w:fill="auto"/>
          </w:tcPr>
          <w:p w:rsidR="00F64EAF" w:rsidRPr="00A00881" w:rsidRDefault="00F64EAF" w:rsidP="00F64EAF">
            <w:pPr>
              <w:rPr>
                <w:sz w:val="20"/>
                <w:szCs w:val="20"/>
              </w:rPr>
            </w:pPr>
            <w:r w:rsidRPr="00A00881">
              <w:rPr>
                <w:sz w:val="20"/>
                <w:szCs w:val="20"/>
              </w:rPr>
              <w:t>Autoimunitné ochorenie štítnej žľazy</w:t>
            </w:r>
          </w:p>
        </w:tc>
        <w:tc>
          <w:tcPr>
            <w:tcW w:w="2520" w:type="dxa"/>
            <w:shd w:val="clear" w:color="auto" w:fill="auto"/>
          </w:tcPr>
          <w:p w:rsidR="00F64EAF" w:rsidRPr="00A00881" w:rsidRDefault="00F64EAF" w:rsidP="00A00881">
            <w:pPr>
              <w:jc w:val="center"/>
              <w:rPr>
                <w:sz w:val="20"/>
                <w:szCs w:val="20"/>
              </w:rPr>
            </w:pPr>
            <w:r w:rsidRPr="00A00881">
              <w:rPr>
                <w:sz w:val="20"/>
                <w:szCs w:val="20"/>
              </w:rPr>
              <w:t>1,5 – 14</w:t>
            </w:r>
          </w:p>
        </w:tc>
      </w:tr>
      <w:tr w:rsidR="00F64EAF" w:rsidRPr="00A00881">
        <w:tc>
          <w:tcPr>
            <w:tcW w:w="2340" w:type="dxa"/>
            <w:shd w:val="clear" w:color="auto" w:fill="auto"/>
          </w:tcPr>
          <w:p w:rsidR="00F64EAF" w:rsidRPr="00A00881" w:rsidRDefault="00F64EAF" w:rsidP="00F64EAF">
            <w:pPr>
              <w:rPr>
                <w:sz w:val="20"/>
                <w:szCs w:val="20"/>
              </w:rPr>
            </w:pPr>
            <w:r w:rsidRPr="00A00881">
              <w:rPr>
                <w:sz w:val="20"/>
                <w:szCs w:val="20"/>
              </w:rPr>
              <w:t>Downov syndróm</w:t>
            </w:r>
          </w:p>
        </w:tc>
        <w:tc>
          <w:tcPr>
            <w:tcW w:w="2520" w:type="dxa"/>
            <w:shd w:val="clear" w:color="auto" w:fill="auto"/>
          </w:tcPr>
          <w:p w:rsidR="00F64EAF" w:rsidRPr="00A00881" w:rsidRDefault="00F64EAF" w:rsidP="00A00881">
            <w:pPr>
              <w:jc w:val="center"/>
              <w:rPr>
                <w:sz w:val="20"/>
                <w:szCs w:val="20"/>
              </w:rPr>
            </w:pPr>
            <w:r w:rsidRPr="00A00881">
              <w:rPr>
                <w:sz w:val="20"/>
                <w:szCs w:val="20"/>
              </w:rPr>
              <w:t>5 – 12</w:t>
            </w:r>
          </w:p>
        </w:tc>
      </w:tr>
      <w:tr w:rsidR="00F64EAF" w:rsidRPr="00A00881">
        <w:tc>
          <w:tcPr>
            <w:tcW w:w="2340" w:type="dxa"/>
            <w:shd w:val="clear" w:color="auto" w:fill="auto"/>
          </w:tcPr>
          <w:p w:rsidR="00F64EAF" w:rsidRPr="00A00881" w:rsidRDefault="00F64EAF" w:rsidP="00F64EAF">
            <w:pPr>
              <w:rPr>
                <w:sz w:val="20"/>
                <w:szCs w:val="20"/>
              </w:rPr>
            </w:pPr>
            <w:r w:rsidRPr="00A00881">
              <w:rPr>
                <w:sz w:val="20"/>
                <w:szCs w:val="20"/>
              </w:rPr>
              <w:t>Turnerov syndróm</w:t>
            </w:r>
          </w:p>
        </w:tc>
        <w:tc>
          <w:tcPr>
            <w:tcW w:w="2520" w:type="dxa"/>
            <w:shd w:val="clear" w:color="auto" w:fill="auto"/>
          </w:tcPr>
          <w:p w:rsidR="00F64EAF" w:rsidRPr="00A00881" w:rsidRDefault="00F64EAF" w:rsidP="00A00881">
            <w:pPr>
              <w:jc w:val="center"/>
              <w:rPr>
                <w:sz w:val="20"/>
                <w:szCs w:val="20"/>
              </w:rPr>
            </w:pPr>
            <w:r w:rsidRPr="00A00881">
              <w:rPr>
                <w:sz w:val="20"/>
                <w:szCs w:val="20"/>
              </w:rPr>
              <w:t>2 – 10</w:t>
            </w:r>
          </w:p>
        </w:tc>
      </w:tr>
      <w:tr w:rsidR="00F64EAF" w:rsidRPr="00A00881">
        <w:tc>
          <w:tcPr>
            <w:tcW w:w="2340" w:type="dxa"/>
            <w:shd w:val="clear" w:color="auto" w:fill="auto"/>
          </w:tcPr>
          <w:p w:rsidR="00F64EAF" w:rsidRPr="00A00881" w:rsidRDefault="00F64EAF" w:rsidP="00F64EAF">
            <w:pPr>
              <w:rPr>
                <w:sz w:val="20"/>
                <w:szCs w:val="20"/>
              </w:rPr>
            </w:pPr>
            <w:r w:rsidRPr="00A00881">
              <w:rPr>
                <w:sz w:val="20"/>
                <w:szCs w:val="20"/>
              </w:rPr>
              <w:t>Diabetes mellitus typu 1</w:t>
            </w:r>
          </w:p>
        </w:tc>
        <w:tc>
          <w:tcPr>
            <w:tcW w:w="2520" w:type="dxa"/>
            <w:shd w:val="clear" w:color="auto" w:fill="auto"/>
          </w:tcPr>
          <w:p w:rsidR="00F64EAF" w:rsidRPr="00A00881" w:rsidRDefault="00F64EAF" w:rsidP="00A00881">
            <w:pPr>
              <w:jc w:val="center"/>
              <w:rPr>
                <w:sz w:val="20"/>
                <w:szCs w:val="20"/>
              </w:rPr>
            </w:pPr>
          </w:p>
        </w:tc>
      </w:tr>
      <w:tr w:rsidR="00F64EAF" w:rsidRPr="00A00881">
        <w:tc>
          <w:tcPr>
            <w:tcW w:w="2340" w:type="dxa"/>
            <w:shd w:val="clear" w:color="auto" w:fill="auto"/>
          </w:tcPr>
          <w:p w:rsidR="00F64EAF" w:rsidRPr="00A00881" w:rsidRDefault="00F64EAF" w:rsidP="00F64EAF">
            <w:pPr>
              <w:rPr>
                <w:sz w:val="20"/>
                <w:szCs w:val="20"/>
              </w:rPr>
            </w:pPr>
            <w:r w:rsidRPr="00A00881">
              <w:rPr>
                <w:sz w:val="20"/>
                <w:szCs w:val="20"/>
              </w:rPr>
              <w:t xml:space="preserve">     Deti</w:t>
            </w:r>
          </w:p>
        </w:tc>
        <w:tc>
          <w:tcPr>
            <w:tcW w:w="2520" w:type="dxa"/>
            <w:shd w:val="clear" w:color="auto" w:fill="auto"/>
          </w:tcPr>
          <w:p w:rsidR="00F64EAF" w:rsidRPr="00A00881" w:rsidRDefault="00F64EAF" w:rsidP="00A00881">
            <w:pPr>
              <w:jc w:val="center"/>
              <w:rPr>
                <w:sz w:val="20"/>
                <w:szCs w:val="20"/>
              </w:rPr>
            </w:pPr>
            <w:r w:rsidRPr="00A00881">
              <w:rPr>
                <w:sz w:val="20"/>
                <w:szCs w:val="20"/>
              </w:rPr>
              <w:t>3 – 8</w:t>
            </w:r>
          </w:p>
        </w:tc>
      </w:tr>
      <w:tr w:rsidR="00F64EAF" w:rsidRPr="00A00881">
        <w:tc>
          <w:tcPr>
            <w:tcW w:w="2340" w:type="dxa"/>
            <w:shd w:val="clear" w:color="auto" w:fill="auto"/>
          </w:tcPr>
          <w:p w:rsidR="00F64EAF" w:rsidRPr="00A00881" w:rsidRDefault="00F64EAF" w:rsidP="00F64EAF">
            <w:pPr>
              <w:rPr>
                <w:sz w:val="20"/>
                <w:szCs w:val="20"/>
              </w:rPr>
            </w:pPr>
            <w:r w:rsidRPr="00A00881">
              <w:rPr>
                <w:sz w:val="20"/>
                <w:szCs w:val="20"/>
              </w:rPr>
              <w:t xml:space="preserve">     Dospelí </w:t>
            </w:r>
          </w:p>
        </w:tc>
        <w:tc>
          <w:tcPr>
            <w:tcW w:w="2520" w:type="dxa"/>
            <w:shd w:val="clear" w:color="auto" w:fill="auto"/>
          </w:tcPr>
          <w:p w:rsidR="00F64EAF" w:rsidRPr="00A00881" w:rsidRDefault="00F64EAF" w:rsidP="00A00881">
            <w:pPr>
              <w:jc w:val="center"/>
              <w:rPr>
                <w:sz w:val="20"/>
                <w:szCs w:val="20"/>
              </w:rPr>
            </w:pPr>
            <w:r w:rsidRPr="00A00881">
              <w:rPr>
                <w:sz w:val="20"/>
                <w:szCs w:val="20"/>
              </w:rPr>
              <w:t>2 – 5</w:t>
            </w:r>
          </w:p>
        </w:tc>
      </w:tr>
    </w:tbl>
    <w:p w:rsidR="00D6037C" w:rsidRDefault="00C25668" w:rsidP="006F37B0">
      <w:pPr>
        <w:tabs>
          <w:tab w:val="left" w:pos="113"/>
        </w:tabs>
        <w:jc w:val="both"/>
        <w:rPr>
          <w:b/>
          <w:color w:val="000000"/>
          <w:sz w:val="20"/>
          <w:szCs w:val="20"/>
        </w:rPr>
      </w:pPr>
      <w:r w:rsidRPr="006F37B0">
        <w:rPr>
          <w:sz w:val="20"/>
          <w:szCs w:val="20"/>
        </w:rPr>
        <w:tab/>
      </w:r>
      <w:r w:rsidRPr="006F37B0">
        <w:rPr>
          <w:b/>
          <w:color w:val="000000"/>
          <w:sz w:val="20"/>
          <w:szCs w:val="20"/>
        </w:rPr>
        <w:t xml:space="preserve"> </w:t>
      </w:r>
    </w:p>
    <w:p w:rsidR="00E5009A" w:rsidRDefault="00D6037C" w:rsidP="006F37B0">
      <w:pPr>
        <w:tabs>
          <w:tab w:val="left" w:pos="113"/>
        </w:tabs>
        <w:jc w:val="both"/>
        <w:rPr>
          <w:b/>
          <w:color w:val="000000"/>
          <w:sz w:val="20"/>
          <w:szCs w:val="20"/>
        </w:rPr>
      </w:pPr>
      <w:r>
        <w:rPr>
          <w:b/>
          <w:color w:val="000000"/>
          <w:sz w:val="20"/>
          <w:szCs w:val="20"/>
        </w:rPr>
        <w:tab/>
      </w:r>
      <w:r w:rsidRPr="0080238C">
        <w:rPr>
          <w:sz w:val="20"/>
          <w:szCs w:val="20"/>
        </w:rPr>
        <w:t xml:space="preserve">Formy celiakie tvoria typický obraz ľadovca. Asi 10 % pacientov manifestuje typickými prejavmi ochorenia, 90 % pacientov je bez klinických príznakov. </w:t>
      </w:r>
      <w:r w:rsidRPr="0080238C">
        <w:rPr>
          <w:color w:val="000000"/>
          <w:sz w:val="20"/>
          <w:szCs w:val="20"/>
        </w:rPr>
        <w:t xml:space="preserve">Rozoznávame tieto </w:t>
      </w:r>
      <w:r w:rsidRPr="0080238C">
        <w:rPr>
          <w:bCs/>
          <w:color w:val="000000"/>
          <w:sz w:val="20"/>
          <w:szCs w:val="20"/>
        </w:rPr>
        <w:t>klinické formy</w:t>
      </w:r>
      <w:r w:rsidRPr="0080238C">
        <w:rPr>
          <w:b/>
          <w:bCs/>
          <w:color w:val="000000"/>
          <w:sz w:val="20"/>
          <w:szCs w:val="20"/>
        </w:rPr>
        <w:t xml:space="preserve"> </w:t>
      </w:r>
      <w:r w:rsidRPr="0080238C">
        <w:rPr>
          <w:color w:val="000000"/>
          <w:sz w:val="20"/>
          <w:szCs w:val="20"/>
        </w:rPr>
        <w:t xml:space="preserve">celiakie: typická (klasická), atypická (subklinická), tichá, latentná a potenciálna. Všetky vykazujú pozitívne protilátky proti endomýziu, resp. </w:t>
      </w:r>
      <w:r w:rsidRPr="0080238C">
        <w:rPr>
          <w:color w:val="000000"/>
          <w:sz w:val="20"/>
          <w:szCs w:val="20"/>
        </w:rPr>
        <w:lastRenderedPageBreak/>
        <w:t xml:space="preserve">tkanivovej transglutamináze </w:t>
      </w:r>
      <w:r w:rsidRPr="0080238C">
        <w:rPr>
          <w:b/>
          <w:color w:val="000000"/>
          <w:sz w:val="20"/>
          <w:szCs w:val="20"/>
        </w:rPr>
        <w:t>(Ciclitira et al., 2005a; Pekárková et al., 2009).</w:t>
      </w:r>
    </w:p>
    <w:p w:rsidR="007857BD" w:rsidRPr="006F37B0" w:rsidRDefault="00E5009A" w:rsidP="006F37B0">
      <w:pPr>
        <w:tabs>
          <w:tab w:val="left" w:pos="113"/>
        </w:tabs>
        <w:jc w:val="both"/>
        <w:rPr>
          <w:sz w:val="20"/>
          <w:szCs w:val="20"/>
        </w:rPr>
      </w:pPr>
      <w:r>
        <w:rPr>
          <w:b/>
          <w:color w:val="000000"/>
          <w:sz w:val="20"/>
          <w:szCs w:val="20"/>
        </w:rPr>
        <w:tab/>
      </w:r>
      <w:r w:rsidR="007857BD" w:rsidRPr="006F37B0">
        <w:rPr>
          <w:sz w:val="20"/>
          <w:szCs w:val="20"/>
        </w:rPr>
        <w:t xml:space="preserve">Klinické prejavy celiakie sú veľmi variabilné. V detskom veku sa ochorenie často prejavuje neprospievaním, malým vzrastom, oneskorenou pubertou, chronickými hnačkami, nadúvaním, anémiou. U dospelých sa môžu vyskytnúť klasické prípady tohto ochorenia s chronickými hnačkami, nadúvaním a bolesťami brucha, slabosťou </w:t>
      </w:r>
      <w:r w:rsidR="00D6037C">
        <w:rPr>
          <w:sz w:val="20"/>
          <w:szCs w:val="20"/>
        </w:rPr>
        <w:t xml:space="preserve"> </w:t>
      </w:r>
      <w:r w:rsidR="007857BD" w:rsidRPr="006F37B0">
        <w:rPr>
          <w:sz w:val="20"/>
          <w:szCs w:val="20"/>
        </w:rPr>
        <w:t xml:space="preserve">a malabsorpciou. Avšak mnoho pacientov má iba málo, alebo žiadne gastrointestinálne príznaky, pri ktorých sa vyskytujú rozličné extra-intestinálne poruchy (Tab. 3). Je preto vhodnejšie považovať celiakiu za multisystémovú, nie iba za gastrointestinálnu poruchu </w:t>
      </w:r>
      <w:r w:rsidR="007857BD" w:rsidRPr="006F37B0">
        <w:rPr>
          <w:b/>
          <w:sz w:val="20"/>
          <w:szCs w:val="20"/>
        </w:rPr>
        <w:t>(Briani et al., 2008; Krajčírová, 2007).</w:t>
      </w:r>
    </w:p>
    <w:p w:rsidR="006F37B0" w:rsidRDefault="006F37B0" w:rsidP="00227E69">
      <w:pPr>
        <w:pStyle w:val="PotText"/>
        <w:rPr>
          <w:b/>
        </w:rPr>
      </w:pPr>
    </w:p>
    <w:p w:rsidR="00F64EAF" w:rsidRDefault="00F64EAF" w:rsidP="00227E69">
      <w:pPr>
        <w:pStyle w:val="PotText"/>
        <w:rPr>
          <w:b/>
        </w:rPr>
      </w:pPr>
      <w:r w:rsidRPr="000A4AB7">
        <w:rPr>
          <w:b/>
        </w:rPr>
        <w:t>Tabuľka 3</w:t>
      </w:r>
      <w:r>
        <w:t xml:space="preserve"> Príznaky a symptómy celiakie </w:t>
      </w:r>
      <w:r w:rsidRPr="001E68E1">
        <w:rPr>
          <w:b/>
        </w:rPr>
        <w:t>(Presutti et al.</w:t>
      </w:r>
      <w:r w:rsidR="005A5D18">
        <w:rPr>
          <w:b/>
          <w:lang w:val="sk-SK"/>
        </w:rPr>
        <w:t>, 2007</w:t>
      </w:r>
      <w:r w:rsidRPr="001E68E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362"/>
      </w:tblGrid>
      <w:tr w:rsidR="00F64EAF" w:rsidRPr="00A00881">
        <w:tc>
          <w:tcPr>
            <w:tcW w:w="2494" w:type="dxa"/>
            <w:shd w:val="clear" w:color="auto" w:fill="auto"/>
          </w:tcPr>
          <w:p w:rsidR="00F64EAF" w:rsidRPr="00A00881" w:rsidRDefault="00F64EAF" w:rsidP="00F64EAF">
            <w:pPr>
              <w:rPr>
                <w:b/>
                <w:sz w:val="20"/>
                <w:szCs w:val="20"/>
              </w:rPr>
            </w:pPr>
            <w:r w:rsidRPr="00A00881">
              <w:rPr>
                <w:b/>
                <w:sz w:val="20"/>
                <w:szCs w:val="20"/>
              </w:rPr>
              <w:t>Prízna</w:t>
            </w:r>
            <w:r w:rsidR="00FF739E">
              <w:rPr>
                <w:b/>
                <w:sz w:val="20"/>
                <w:szCs w:val="20"/>
              </w:rPr>
              <w:t>k</w:t>
            </w:r>
            <w:r w:rsidRPr="00A00881">
              <w:rPr>
                <w:b/>
                <w:sz w:val="20"/>
                <w:szCs w:val="20"/>
              </w:rPr>
              <w:t>/symptóm</w:t>
            </w:r>
          </w:p>
        </w:tc>
        <w:tc>
          <w:tcPr>
            <w:tcW w:w="2362" w:type="dxa"/>
            <w:shd w:val="clear" w:color="auto" w:fill="auto"/>
          </w:tcPr>
          <w:p w:rsidR="00F64EAF" w:rsidRPr="00A00881" w:rsidRDefault="00F64EAF" w:rsidP="00A00881">
            <w:pPr>
              <w:jc w:val="center"/>
              <w:rPr>
                <w:b/>
                <w:sz w:val="20"/>
                <w:szCs w:val="20"/>
              </w:rPr>
            </w:pPr>
            <w:r w:rsidRPr="00A00881">
              <w:rPr>
                <w:b/>
                <w:sz w:val="20"/>
                <w:szCs w:val="20"/>
              </w:rPr>
              <w:t>Výskyt u celiatikov (%)</w:t>
            </w:r>
          </w:p>
        </w:tc>
      </w:tr>
      <w:tr w:rsidR="00F64EAF" w:rsidRPr="00A00881">
        <w:tc>
          <w:tcPr>
            <w:tcW w:w="2494" w:type="dxa"/>
            <w:shd w:val="clear" w:color="auto" w:fill="auto"/>
          </w:tcPr>
          <w:p w:rsidR="00F64EAF" w:rsidRPr="00A00881" w:rsidRDefault="00F64EAF" w:rsidP="00F64EAF">
            <w:pPr>
              <w:rPr>
                <w:b/>
                <w:sz w:val="20"/>
                <w:szCs w:val="20"/>
              </w:rPr>
            </w:pPr>
            <w:r w:rsidRPr="00A00881">
              <w:rPr>
                <w:b/>
                <w:sz w:val="20"/>
                <w:szCs w:val="20"/>
              </w:rPr>
              <w:t xml:space="preserve">Bežné </w:t>
            </w:r>
          </w:p>
        </w:tc>
        <w:tc>
          <w:tcPr>
            <w:tcW w:w="2362" w:type="dxa"/>
            <w:shd w:val="clear" w:color="auto" w:fill="auto"/>
          </w:tcPr>
          <w:p w:rsidR="00F64EAF" w:rsidRPr="00A00881" w:rsidRDefault="00F64EAF" w:rsidP="00A00881">
            <w:pPr>
              <w:jc w:val="center"/>
              <w:rPr>
                <w:sz w:val="20"/>
                <w:szCs w:val="20"/>
              </w:rPr>
            </w:pP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Hnačka</w:t>
            </w:r>
          </w:p>
        </w:tc>
        <w:tc>
          <w:tcPr>
            <w:tcW w:w="2362" w:type="dxa"/>
            <w:shd w:val="clear" w:color="auto" w:fill="auto"/>
          </w:tcPr>
          <w:p w:rsidR="00F64EAF" w:rsidRPr="00A00881" w:rsidRDefault="00F64EAF" w:rsidP="00A00881">
            <w:pPr>
              <w:jc w:val="center"/>
              <w:rPr>
                <w:sz w:val="20"/>
                <w:szCs w:val="20"/>
              </w:rPr>
            </w:pPr>
            <w:r w:rsidRPr="00A00881">
              <w:rPr>
                <w:sz w:val="20"/>
                <w:szCs w:val="20"/>
              </w:rPr>
              <w:t>45 – 85</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Únava</w:t>
            </w:r>
          </w:p>
        </w:tc>
        <w:tc>
          <w:tcPr>
            <w:tcW w:w="2362" w:type="dxa"/>
            <w:shd w:val="clear" w:color="auto" w:fill="auto"/>
          </w:tcPr>
          <w:p w:rsidR="00F64EAF" w:rsidRPr="00A00881" w:rsidRDefault="00F64EAF" w:rsidP="00A00881">
            <w:pPr>
              <w:jc w:val="center"/>
              <w:rPr>
                <w:sz w:val="20"/>
                <w:szCs w:val="20"/>
              </w:rPr>
            </w:pPr>
            <w:r w:rsidRPr="00A00881">
              <w:rPr>
                <w:sz w:val="20"/>
                <w:szCs w:val="20"/>
              </w:rPr>
              <w:t>78 – 80</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Abdominálne bolesti</w:t>
            </w:r>
          </w:p>
        </w:tc>
        <w:tc>
          <w:tcPr>
            <w:tcW w:w="2362" w:type="dxa"/>
            <w:shd w:val="clear" w:color="auto" w:fill="auto"/>
          </w:tcPr>
          <w:p w:rsidR="00F64EAF" w:rsidRPr="00A00881" w:rsidRDefault="00F64EAF" w:rsidP="00A00881">
            <w:pPr>
              <w:jc w:val="center"/>
              <w:rPr>
                <w:sz w:val="20"/>
                <w:szCs w:val="20"/>
              </w:rPr>
            </w:pPr>
            <w:r w:rsidRPr="00A00881">
              <w:rPr>
                <w:sz w:val="20"/>
                <w:szCs w:val="20"/>
              </w:rPr>
              <w:t>34 – 64</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Strata hmotnosti</w:t>
            </w:r>
          </w:p>
        </w:tc>
        <w:tc>
          <w:tcPr>
            <w:tcW w:w="2362" w:type="dxa"/>
            <w:shd w:val="clear" w:color="auto" w:fill="auto"/>
          </w:tcPr>
          <w:p w:rsidR="00F64EAF" w:rsidRPr="00A00881" w:rsidRDefault="00F64EAF" w:rsidP="00A00881">
            <w:pPr>
              <w:jc w:val="center"/>
              <w:rPr>
                <w:sz w:val="20"/>
                <w:szCs w:val="20"/>
              </w:rPr>
            </w:pPr>
            <w:r w:rsidRPr="00A00881">
              <w:rPr>
                <w:sz w:val="20"/>
                <w:szCs w:val="20"/>
              </w:rPr>
              <w:t>45</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Nadúvanie</w:t>
            </w:r>
          </w:p>
        </w:tc>
        <w:tc>
          <w:tcPr>
            <w:tcW w:w="2362" w:type="dxa"/>
            <w:shd w:val="clear" w:color="auto" w:fill="auto"/>
          </w:tcPr>
          <w:p w:rsidR="00F64EAF" w:rsidRPr="00A00881" w:rsidRDefault="00F64EAF" w:rsidP="00A00881">
            <w:pPr>
              <w:jc w:val="center"/>
              <w:rPr>
                <w:sz w:val="20"/>
                <w:szCs w:val="20"/>
              </w:rPr>
            </w:pPr>
            <w:r w:rsidRPr="00A00881">
              <w:rPr>
                <w:sz w:val="20"/>
                <w:szCs w:val="20"/>
              </w:rPr>
              <w:t>28</w:t>
            </w:r>
          </w:p>
        </w:tc>
      </w:tr>
      <w:tr w:rsidR="00F64EAF" w:rsidRPr="00A00881">
        <w:tc>
          <w:tcPr>
            <w:tcW w:w="2494" w:type="dxa"/>
            <w:shd w:val="clear" w:color="auto" w:fill="auto"/>
          </w:tcPr>
          <w:p w:rsidR="00F64EAF" w:rsidRPr="00A00881" w:rsidRDefault="00F64EAF" w:rsidP="00F64EAF">
            <w:pPr>
              <w:rPr>
                <w:b/>
                <w:sz w:val="20"/>
                <w:szCs w:val="20"/>
              </w:rPr>
            </w:pPr>
            <w:r w:rsidRPr="00A00881">
              <w:rPr>
                <w:b/>
                <w:sz w:val="20"/>
                <w:szCs w:val="20"/>
              </w:rPr>
              <w:t>Zriedkavé alebo vzácne</w:t>
            </w:r>
          </w:p>
        </w:tc>
        <w:tc>
          <w:tcPr>
            <w:tcW w:w="2362" w:type="dxa"/>
            <w:shd w:val="clear" w:color="auto" w:fill="auto"/>
          </w:tcPr>
          <w:p w:rsidR="00F64EAF" w:rsidRPr="00A00881" w:rsidRDefault="00F64EAF" w:rsidP="00A00881">
            <w:pPr>
              <w:jc w:val="center"/>
              <w:rPr>
                <w:sz w:val="20"/>
                <w:szCs w:val="20"/>
              </w:rPr>
            </w:pP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Osteopénia/osteoporóza</w:t>
            </w:r>
          </w:p>
        </w:tc>
        <w:tc>
          <w:tcPr>
            <w:tcW w:w="2362" w:type="dxa"/>
            <w:shd w:val="clear" w:color="auto" w:fill="auto"/>
          </w:tcPr>
          <w:p w:rsidR="00F64EAF" w:rsidRPr="00A00881" w:rsidRDefault="00F64EAF" w:rsidP="00A00881">
            <w:pPr>
              <w:jc w:val="center"/>
              <w:rPr>
                <w:sz w:val="20"/>
                <w:szCs w:val="20"/>
              </w:rPr>
            </w:pPr>
            <w:r w:rsidRPr="00A00881">
              <w:rPr>
                <w:sz w:val="20"/>
                <w:szCs w:val="20"/>
              </w:rPr>
              <w:t>1 – 34</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Abnormálna funkcia pečene</w:t>
            </w:r>
          </w:p>
        </w:tc>
        <w:tc>
          <w:tcPr>
            <w:tcW w:w="2362" w:type="dxa"/>
            <w:shd w:val="clear" w:color="auto" w:fill="auto"/>
          </w:tcPr>
          <w:p w:rsidR="00F64EAF" w:rsidRPr="00A00881" w:rsidRDefault="00F64EAF" w:rsidP="00A00881">
            <w:pPr>
              <w:jc w:val="center"/>
              <w:rPr>
                <w:sz w:val="20"/>
                <w:szCs w:val="20"/>
              </w:rPr>
            </w:pPr>
            <w:r w:rsidRPr="00A00881">
              <w:rPr>
                <w:sz w:val="20"/>
                <w:szCs w:val="20"/>
              </w:rPr>
              <w:t>2 – 19</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Zvracanie</w:t>
            </w:r>
          </w:p>
        </w:tc>
        <w:tc>
          <w:tcPr>
            <w:tcW w:w="2362" w:type="dxa"/>
            <w:shd w:val="clear" w:color="auto" w:fill="auto"/>
          </w:tcPr>
          <w:p w:rsidR="00F64EAF" w:rsidRPr="00A00881" w:rsidRDefault="00F64EAF" w:rsidP="00A00881">
            <w:pPr>
              <w:jc w:val="center"/>
              <w:rPr>
                <w:sz w:val="20"/>
                <w:szCs w:val="20"/>
              </w:rPr>
            </w:pPr>
            <w:r w:rsidRPr="00A00881">
              <w:rPr>
                <w:sz w:val="20"/>
                <w:szCs w:val="20"/>
              </w:rPr>
              <w:t>5 – 16</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Anémia z nedostatku železa</w:t>
            </w:r>
          </w:p>
        </w:tc>
        <w:tc>
          <w:tcPr>
            <w:tcW w:w="2362" w:type="dxa"/>
            <w:shd w:val="clear" w:color="auto" w:fill="auto"/>
          </w:tcPr>
          <w:p w:rsidR="00F64EAF" w:rsidRPr="00A00881" w:rsidRDefault="00F64EAF" w:rsidP="00A00881">
            <w:pPr>
              <w:jc w:val="center"/>
              <w:rPr>
                <w:sz w:val="20"/>
                <w:szCs w:val="20"/>
              </w:rPr>
            </w:pPr>
            <w:r w:rsidRPr="00A00881">
              <w:rPr>
                <w:sz w:val="20"/>
                <w:szCs w:val="20"/>
              </w:rPr>
              <w:t>10 – 15</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Neurologické poruchy</w:t>
            </w:r>
          </w:p>
        </w:tc>
        <w:tc>
          <w:tcPr>
            <w:tcW w:w="2362" w:type="dxa"/>
            <w:shd w:val="clear" w:color="auto" w:fill="auto"/>
          </w:tcPr>
          <w:p w:rsidR="00F64EAF" w:rsidRPr="00A00881" w:rsidRDefault="00F64EAF" w:rsidP="00A00881">
            <w:pPr>
              <w:jc w:val="center"/>
              <w:rPr>
                <w:sz w:val="20"/>
                <w:szCs w:val="20"/>
              </w:rPr>
            </w:pPr>
            <w:r w:rsidRPr="00A00881">
              <w:rPr>
                <w:sz w:val="20"/>
                <w:szCs w:val="20"/>
              </w:rPr>
              <w:t>8 – 14</w:t>
            </w:r>
          </w:p>
        </w:tc>
      </w:tr>
      <w:tr w:rsidR="00F64EAF" w:rsidRPr="00A00881">
        <w:tc>
          <w:tcPr>
            <w:tcW w:w="2494" w:type="dxa"/>
            <w:shd w:val="clear" w:color="auto" w:fill="auto"/>
          </w:tcPr>
          <w:p w:rsidR="00F64EAF" w:rsidRPr="00A00881" w:rsidRDefault="00F64EAF" w:rsidP="00F64EAF">
            <w:pPr>
              <w:rPr>
                <w:sz w:val="20"/>
                <w:szCs w:val="20"/>
              </w:rPr>
            </w:pPr>
            <w:r w:rsidRPr="00A00881">
              <w:rPr>
                <w:sz w:val="20"/>
                <w:szCs w:val="20"/>
              </w:rPr>
              <w:t>Zápcha</w:t>
            </w:r>
          </w:p>
        </w:tc>
        <w:tc>
          <w:tcPr>
            <w:tcW w:w="2362" w:type="dxa"/>
            <w:shd w:val="clear" w:color="auto" w:fill="auto"/>
          </w:tcPr>
          <w:p w:rsidR="00F64EAF" w:rsidRPr="00A00881" w:rsidRDefault="00F64EAF" w:rsidP="00A00881">
            <w:pPr>
              <w:jc w:val="center"/>
              <w:rPr>
                <w:sz w:val="20"/>
                <w:szCs w:val="20"/>
              </w:rPr>
            </w:pPr>
            <w:r w:rsidRPr="00A00881">
              <w:rPr>
                <w:sz w:val="20"/>
                <w:szCs w:val="20"/>
              </w:rPr>
              <w:t>3 – 12</w:t>
            </w:r>
          </w:p>
        </w:tc>
      </w:tr>
    </w:tbl>
    <w:p w:rsidR="00581254" w:rsidRDefault="00581254" w:rsidP="007857BD">
      <w:pPr>
        <w:pStyle w:val="PotText"/>
        <w:rPr>
          <w:b/>
          <w:caps/>
          <w:sz w:val="22"/>
          <w:szCs w:val="22"/>
          <w:lang w:val="sk-SK"/>
        </w:rPr>
      </w:pPr>
    </w:p>
    <w:p w:rsidR="007263AE" w:rsidRDefault="00955B11" w:rsidP="007857BD">
      <w:pPr>
        <w:pStyle w:val="PotText"/>
        <w:rPr>
          <w:b/>
          <w:caps/>
          <w:sz w:val="22"/>
          <w:szCs w:val="22"/>
          <w:lang w:val="sk-SK"/>
        </w:rPr>
      </w:pPr>
      <w:r>
        <w:rPr>
          <w:b/>
          <w:caps/>
          <w:sz w:val="22"/>
          <w:szCs w:val="22"/>
          <w:lang w:val="sk-SK"/>
        </w:rPr>
        <w:t xml:space="preserve">liečba celiakie </w:t>
      </w:r>
    </w:p>
    <w:p w:rsidR="00FB2E06" w:rsidRDefault="00FB2E06" w:rsidP="00FB2E06">
      <w:pPr>
        <w:tabs>
          <w:tab w:val="left" w:pos="113"/>
        </w:tabs>
        <w:jc w:val="both"/>
        <w:rPr>
          <w:b/>
          <w:sz w:val="20"/>
          <w:szCs w:val="20"/>
        </w:rPr>
      </w:pPr>
      <w:r>
        <w:rPr>
          <w:sz w:val="20"/>
          <w:szCs w:val="20"/>
        </w:rPr>
        <w:tab/>
      </w:r>
      <w:r w:rsidRPr="003E402C">
        <w:rPr>
          <w:sz w:val="20"/>
          <w:szCs w:val="20"/>
        </w:rPr>
        <w:t xml:space="preserve">Základom liečby celiakie je </w:t>
      </w:r>
      <w:r w:rsidR="009B5BCB">
        <w:rPr>
          <w:sz w:val="20"/>
          <w:szCs w:val="20"/>
        </w:rPr>
        <w:t xml:space="preserve">prísna </w:t>
      </w:r>
      <w:r w:rsidR="002B77BE" w:rsidRPr="003E402C">
        <w:rPr>
          <w:sz w:val="20"/>
          <w:szCs w:val="20"/>
        </w:rPr>
        <w:t xml:space="preserve">celoživotná </w:t>
      </w:r>
      <w:r w:rsidRPr="003E402C">
        <w:rPr>
          <w:sz w:val="20"/>
          <w:szCs w:val="20"/>
        </w:rPr>
        <w:t xml:space="preserve">bezlepková diéta. Vzhľadom na to, že diéta predstavuje veľký zásah do stravovacích návykov tak detí, ako aj dospelých, je potrebné pacientom zdôrazniť jej nevyhnutnosť a následky pri jej porušovaní. </w:t>
      </w:r>
      <w:r w:rsidR="00710C3D">
        <w:rPr>
          <w:sz w:val="20"/>
          <w:szCs w:val="20"/>
        </w:rPr>
        <w:t xml:space="preserve">Hlavným problémom pri liečbe je nedodržiavanie diéty, ktoré sa </w:t>
      </w:r>
      <w:r w:rsidR="002B77BE">
        <w:rPr>
          <w:sz w:val="20"/>
          <w:szCs w:val="20"/>
        </w:rPr>
        <w:t xml:space="preserve">vyskytuje </w:t>
      </w:r>
      <w:r w:rsidR="00710C3D">
        <w:rPr>
          <w:sz w:val="20"/>
          <w:szCs w:val="20"/>
        </w:rPr>
        <w:t>u 50-80 % pacientov. Pacienti pokračujú v strave obsahujúcej lepok kvôli nedostatku motivácie alebo informácií. Kľúčová je teda motivácia pacienta, prístup lekára a spolupráca s</w:t>
      </w:r>
      <w:r w:rsidR="002B77BE">
        <w:rPr>
          <w:sz w:val="20"/>
          <w:szCs w:val="20"/>
        </w:rPr>
        <w:t> gastroenterológom alebo dietológom, ktor</w:t>
      </w:r>
      <w:r w:rsidR="00A82AE4">
        <w:rPr>
          <w:sz w:val="20"/>
          <w:szCs w:val="20"/>
        </w:rPr>
        <w:t>í</w:t>
      </w:r>
      <w:r w:rsidR="002B77BE">
        <w:rPr>
          <w:sz w:val="20"/>
          <w:szCs w:val="20"/>
        </w:rPr>
        <w:t xml:space="preserve"> majú</w:t>
      </w:r>
      <w:r w:rsidR="00710C3D">
        <w:rPr>
          <w:sz w:val="20"/>
          <w:szCs w:val="20"/>
        </w:rPr>
        <w:t xml:space="preserve"> odborné znalosti v oblasti bezlepkovej diéty.</w:t>
      </w:r>
      <w:r w:rsidRPr="003E402C">
        <w:rPr>
          <w:sz w:val="20"/>
          <w:szCs w:val="20"/>
        </w:rPr>
        <w:t xml:space="preserve"> Porušovanie diéty a aj občasná konzumácia lepku nevedie k úprave poškodenej sliznice čreva, čo môže predstavovať permanentný zápal a systémové poškodenie organizmu s ďalšími následkami, ktoré prináša neliečená celiakia </w:t>
      </w:r>
      <w:r w:rsidRPr="005A5D18">
        <w:rPr>
          <w:b/>
          <w:sz w:val="20"/>
          <w:szCs w:val="20"/>
        </w:rPr>
        <w:t>(</w:t>
      </w:r>
      <w:r>
        <w:rPr>
          <w:b/>
          <w:sz w:val="20"/>
          <w:szCs w:val="20"/>
        </w:rPr>
        <w:t>Ciclitira et al., 2005</w:t>
      </w:r>
      <w:r w:rsidR="00710C3D">
        <w:rPr>
          <w:b/>
          <w:sz w:val="20"/>
          <w:szCs w:val="20"/>
        </w:rPr>
        <w:t>b</w:t>
      </w:r>
      <w:r>
        <w:rPr>
          <w:b/>
          <w:sz w:val="20"/>
          <w:szCs w:val="20"/>
        </w:rPr>
        <w:t xml:space="preserve">; Pekárková et al., 2009; </w:t>
      </w:r>
      <w:r w:rsidRPr="005A5D18">
        <w:rPr>
          <w:b/>
          <w:sz w:val="20"/>
          <w:szCs w:val="20"/>
        </w:rPr>
        <w:t>Čierna, 2009</w:t>
      </w:r>
      <w:r w:rsidR="00710C3D">
        <w:rPr>
          <w:b/>
          <w:sz w:val="20"/>
          <w:szCs w:val="20"/>
        </w:rPr>
        <w:t>; Presutti et al., 2007</w:t>
      </w:r>
      <w:r w:rsidRPr="005A5D18">
        <w:rPr>
          <w:b/>
          <w:sz w:val="20"/>
          <w:szCs w:val="20"/>
        </w:rPr>
        <w:t>).</w:t>
      </w:r>
    </w:p>
    <w:p w:rsidR="004844D6" w:rsidRPr="00473471" w:rsidRDefault="00A359EF" w:rsidP="00FB2E06">
      <w:pPr>
        <w:tabs>
          <w:tab w:val="left" w:pos="113"/>
        </w:tabs>
        <w:jc w:val="both"/>
        <w:rPr>
          <w:color w:val="000000"/>
          <w:sz w:val="20"/>
          <w:szCs w:val="20"/>
        </w:rPr>
      </w:pPr>
      <w:r>
        <w:rPr>
          <w:sz w:val="20"/>
          <w:szCs w:val="20"/>
        </w:rPr>
        <w:tab/>
      </w:r>
      <w:r w:rsidR="00473471" w:rsidRPr="00473471">
        <w:rPr>
          <w:color w:val="000000"/>
          <w:sz w:val="20"/>
          <w:szCs w:val="20"/>
        </w:rPr>
        <w:t>U väčšiny pacientov diétne opatrenia vedú k normalizácii klinického,</w:t>
      </w:r>
      <w:r w:rsidR="00473471">
        <w:rPr>
          <w:color w:val="000000"/>
          <w:sz w:val="20"/>
          <w:szCs w:val="20"/>
        </w:rPr>
        <w:t xml:space="preserve"> laboratórneho aj enterobioptic</w:t>
      </w:r>
      <w:r w:rsidR="00473471" w:rsidRPr="00473471">
        <w:rPr>
          <w:color w:val="000000"/>
          <w:sz w:val="20"/>
          <w:szCs w:val="20"/>
        </w:rPr>
        <w:t>kého nálezu, a to v rôzne dlhom č</w:t>
      </w:r>
      <w:r w:rsidR="00473471">
        <w:rPr>
          <w:color w:val="000000"/>
          <w:sz w:val="20"/>
          <w:szCs w:val="20"/>
        </w:rPr>
        <w:t>ase od zavedenia bez</w:t>
      </w:r>
      <w:r w:rsidR="00473471" w:rsidRPr="00473471">
        <w:rPr>
          <w:color w:val="000000"/>
          <w:sz w:val="20"/>
          <w:szCs w:val="20"/>
        </w:rPr>
        <w:t xml:space="preserve">lepkovej diéty. Asi u 70 % pacientov </w:t>
      </w:r>
      <w:r w:rsidR="00473471">
        <w:rPr>
          <w:color w:val="000000"/>
          <w:sz w:val="20"/>
          <w:szCs w:val="20"/>
        </w:rPr>
        <w:t xml:space="preserve">je zreteľné </w:t>
      </w:r>
      <w:r w:rsidR="00473471" w:rsidRPr="00473471">
        <w:rPr>
          <w:color w:val="000000"/>
          <w:sz w:val="20"/>
          <w:szCs w:val="20"/>
        </w:rPr>
        <w:t xml:space="preserve">klinické zlepšenie už po 14 dňoch od začiatku liečby, </w:t>
      </w:r>
      <w:r w:rsidR="00473471">
        <w:rPr>
          <w:color w:val="000000"/>
          <w:sz w:val="20"/>
          <w:szCs w:val="20"/>
        </w:rPr>
        <w:t>intestinálna permeabilita sa zlepší po 2 mesiacoch, ale zlepšenie sliznice vyžaduje najmenej 3-6 mesiacov.</w:t>
      </w:r>
      <w:r w:rsidR="00473471" w:rsidRPr="00473471">
        <w:rPr>
          <w:color w:val="000000"/>
          <w:sz w:val="20"/>
          <w:szCs w:val="20"/>
        </w:rPr>
        <w:t xml:space="preserve"> Predchádzajúce trvanie expozície </w:t>
      </w:r>
      <w:r w:rsidR="00FF739E">
        <w:rPr>
          <w:color w:val="000000"/>
          <w:sz w:val="20"/>
          <w:szCs w:val="20"/>
        </w:rPr>
        <w:t xml:space="preserve">lepkom </w:t>
      </w:r>
      <w:r w:rsidR="00473471" w:rsidRPr="00473471">
        <w:rPr>
          <w:color w:val="000000"/>
          <w:sz w:val="20"/>
          <w:szCs w:val="20"/>
        </w:rPr>
        <w:t xml:space="preserve">významne ovplyvňuje prognózu ochorenia, ako aj </w:t>
      </w:r>
      <w:r w:rsidR="006D5890">
        <w:rPr>
          <w:color w:val="000000"/>
          <w:sz w:val="20"/>
          <w:szCs w:val="20"/>
        </w:rPr>
        <w:t>výskyt</w:t>
      </w:r>
      <w:r w:rsidR="00473471" w:rsidRPr="00473471">
        <w:rPr>
          <w:color w:val="000000"/>
          <w:sz w:val="20"/>
          <w:szCs w:val="20"/>
        </w:rPr>
        <w:t xml:space="preserve"> závažných komplikácií celiakie</w:t>
      </w:r>
      <w:r w:rsidR="00473471">
        <w:rPr>
          <w:color w:val="000000"/>
          <w:sz w:val="20"/>
          <w:szCs w:val="20"/>
        </w:rPr>
        <w:t xml:space="preserve"> </w:t>
      </w:r>
      <w:r w:rsidR="00473471" w:rsidRPr="00473471">
        <w:rPr>
          <w:b/>
          <w:color w:val="000000"/>
          <w:sz w:val="20"/>
          <w:szCs w:val="20"/>
        </w:rPr>
        <w:t>(Pekárková et al., 2009; Ciclitira, Moodie, 2003).</w:t>
      </w:r>
    </w:p>
    <w:p w:rsidR="00FB2E06" w:rsidRPr="001B1726" w:rsidRDefault="00FB2E06" w:rsidP="00FB2E06">
      <w:pPr>
        <w:tabs>
          <w:tab w:val="left" w:pos="113"/>
          <w:tab w:val="left" w:pos="284"/>
        </w:tabs>
        <w:jc w:val="both"/>
        <w:rPr>
          <w:b/>
          <w:sz w:val="20"/>
          <w:szCs w:val="20"/>
        </w:rPr>
      </w:pPr>
      <w:r>
        <w:rPr>
          <w:sz w:val="20"/>
          <w:szCs w:val="20"/>
        </w:rPr>
        <w:lastRenderedPageBreak/>
        <w:tab/>
      </w:r>
      <w:r w:rsidRPr="003E402C">
        <w:rPr>
          <w:sz w:val="20"/>
          <w:szCs w:val="20"/>
        </w:rPr>
        <w:t xml:space="preserve">Na začiatku stanovenia diagnózy okrem bezlepkovej diéty majú pacienti dodržiavať aj diétu s obmedzením laktózy. </w:t>
      </w:r>
      <w:r w:rsidR="002B77BE">
        <w:rPr>
          <w:sz w:val="20"/>
          <w:szCs w:val="20"/>
        </w:rPr>
        <w:t xml:space="preserve">Keďže </w:t>
      </w:r>
      <w:r w:rsidRPr="003E402C">
        <w:rPr>
          <w:sz w:val="20"/>
          <w:szCs w:val="20"/>
        </w:rPr>
        <w:t xml:space="preserve">pacient </w:t>
      </w:r>
      <w:r w:rsidR="002B77BE">
        <w:rPr>
          <w:sz w:val="20"/>
          <w:szCs w:val="20"/>
        </w:rPr>
        <w:t xml:space="preserve">má </w:t>
      </w:r>
      <w:r w:rsidRPr="003E402C">
        <w:rPr>
          <w:sz w:val="20"/>
          <w:szCs w:val="20"/>
        </w:rPr>
        <w:t>poškodenú sliznicu tenkého čreva, vyplýva z toho aj znížená aktivita črevných enzýmov, ku kto</w:t>
      </w:r>
      <w:r w:rsidR="002B77BE">
        <w:rPr>
          <w:sz w:val="20"/>
          <w:szCs w:val="20"/>
        </w:rPr>
        <w:t>rým patrí aj laktáza.</w:t>
      </w:r>
      <w:r w:rsidRPr="003E402C">
        <w:rPr>
          <w:sz w:val="20"/>
          <w:szCs w:val="20"/>
        </w:rPr>
        <w:t xml:space="preserve"> Po začatí bezlepkovej diéty </w:t>
      </w:r>
      <w:r>
        <w:rPr>
          <w:sz w:val="20"/>
          <w:szCs w:val="20"/>
        </w:rPr>
        <w:t>nastáva úprava črevnej sliznice a</w:t>
      </w:r>
      <w:r w:rsidRPr="003E402C">
        <w:rPr>
          <w:sz w:val="20"/>
          <w:szCs w:val="20"/>
        </w:rPr>
        <w:t xml:space="preserve"> zvyšuje sa aj aktivita laktázy a mlieko a mliečne výrobky sa môžu opäť zaradiť do jedálneho lístka</w:t>
      </w:r>
      <w:r w:rsidR="002B77BE">
        <w:rPr>
          <w:sz w:val="20"/>
          <w:szCs w:val="20"/>
        </w:rPr>
        <w:t xml:space="preserve"> </w:t>
      </w:r>
      <w:r w:rsidRPr="001B1726">
        <w:rPr>
          <w:b/>
          <w:sz w:val="20"/>
          <w:szCs w:val="20"/>
        </w:rPr>
        <w:t>(</w:t>
      </w:r>
      <w:r>
        <w:rPr>
          <w:b/>
          <w:sz w:val="20"/>
          <w:szCs w:val="20"/>
        </w:rPr>
        <w:t xml:space="preserve">Ciclitira, Moodie, 2003; </w:t>
      </w:r>
      <w:r w:rsidRPr="001B1726">
        <w:rPr>
          <w:b/>
          <w:sz w:val="20"/>
          <w:szCs w:val="20"/>
        </w:rPr>
        <w:t>Čierna, 2009).</w:t>
      </w:r>
    </w:p>
    <w:p w:rsidR="005E5640" w:rsidRDefault="00C045E4" w:rsidP="005E5640">
      <w:pPr>
        <w:tabs>
          <w:tab w:val="left" w:pos="113"/>
        </w:tabs>
        <w:jc w:val="both"/>
        <w:rPr>
          <w:sz w:val="20"/>
          <w:szCs w:val="20"/>
        </w:rPr>
      </w:pPr>
      <w:r>
        <w:rPr>
          <w:sz w:val="20"/>
          <w:szCs w:val="20"/>
        </w:rPr>
        <w:tab/>
      </w:r>
    </w:p>
    <w:p w:rsidR="00473471" w:rsidRPr="008E7D14" w:rsidRDefault="00473471" w:rsidP="00D244DB">
      <w:pPr>
        <w:tabs>
          <w:tab w:val="left" w:pos="113"/>
          <w:tab w:val="left" w:pos="284"/>
        </w:tabs>
        <w:jc w:val="both"/>
        <w:outlineLvl w:val="0"/>
        <w:rPr>
          <w:b/>
          <w:sz w:val="22"/>
          <w:szCs w:val="22"/>
        </w:rPr>
      </w:pPr>
      <w:r w:rsidRPr="008E7D14">
        <w:rPr>
          <w:b/>
          <w:sz w:val="22"/>
          <w:szCs w:val="22"/>
        </w:rPr>
        <w:t>BEZLEPKOVÉ POTRAVINY</w:t>
      </w:r>
    </w:p>
    <w:p w:rsidR="005E5640" w:rsidRDefault="00473471" w:rsidP="00930744">
      <w:pPr>
        <w:tabs>
          <w:tab w:val="left" w:pos="113"/>
        </w:tabs>
        <w:jc w:val="both"/>
        <w:rPr>
          <w:sz w:val="20"/>
          <w:szCs w:val="20"/>
        </w:rPr>
      </w:pPr>
      <w:r>
        <w:rPr>
          <w:sz w:val="20"/>
          <w:szCs w:val="20"/>
        </w:rPr>
        <w:tab/>
      </w:r>
      <w:r w:rsidR="005E5640" w:rsidRPr="00A91E08">
        <w:rPr>
          <w:sz w:val="20"/>
          <w:szCs w:val="20"/>
        </w:rPr>
        <w:t xml:space="preserve">Každodennou úlohou celiatikov je výber vhodnej bezlepkovej stravy, pričom stále nezodpovedanou otázkou zostáva akceptovateľný obsah gluténu v potravinách. </w:t>
      </w:r>
      <w:r w:rsidR="005E5640" w:rsidRPr="003E402C">
        <w:rPr>
          <w:sz w:val="20"/>
          <w:szCs w:val="20"/>
        </w:rPr>
        <w:t>V januári 2009 prijala Európska Únia Nariadenie Komisie (ES) č.</w:t>
      </w:r>
      <w:r w:rsidR="005E5640">
        <w:rPr>
          <w:sz w:val="20"/>
          <w:szCs w:val="20"/>
        </w:rPr>
        <w:t xml:space="preserve"> </w:t>
      </w:r>
      <w:r w:rsidR="005E5640" w:rsidRPr="003E402C">
        <w:rPr>
          <w:sz w:val="20"/>
          <w:szCs w:val="20"/>
        </w:rPr>
        <w:t>41/2009, v ktorom sa špecifikujú kritériá pre potraviny určené na osobitné výživové účely so špeciálnym zložením, vhodným aj pre</w:t>
      </w:r>
      <w:r w:rsidR="005E5640">
        <w:rPr>
          <w:sz w:val="20"/>
          <w:szCs w:val="20"/>
        </w:rPr>
        <w:t xml:space="preserve"> </w:t>
      </w:r>
      <w:r w:rsidR="00FF739E">
        <w:rPr>
          <w:sz w:val="20"/>
          <w:szCs w:val="20"/>
        </w:rPr>
        <w:t>celiatikov</w:t>
      </w:r>
      <w:r w:rsidR="005E5640">
        <w:rPr>
          <w:sz w:val="20"/>
          <w:szCs w:val="20"/>
        </w:rPr>
        <w:t>. Z</w:t>
      </w:r>
      <w:r w:rsidR="005E5640" w:rsidRPr="003E402C">
        <w:rPr>
          <w:sz w:val="20"/>
          <w:szCs w:val="20"/>
        </w:rPr>
        <w:t>áväzné pravidlá boli prijaté na 31. zasadnutí Komisie Codex Alimentarius v júli 2008, kde bol prijatý Kódex noriem. V Nariadení sa uvádza, že „potraviny pre osoby trpiace neznášanlivosťou gluténu, ktoré obsahujú jednu alebo viac zložiek vyrobených z pšenice, raže, jačmeňa, ovsa alebo ich krížených druhov, alebo sú z nich zložené, a ktoré boli špeciálne spracované tak, aby v nich bol znížený obsah gluténu, nesmú obsahovať viac ako 100 mg/kg gluténu v potravine vo forme, v akej sa predáva konečnému spotrebiteľovi.“ Vtedy sa na ich označenie použije termín „veľmi nízky obsah gluténu“. Pojem „bezgluténový“ sa môže použiť vtedy, ak obsah gluténu v</w:t>
      </w:r>
      <w:r w:rsidR="005E5640">
        <w:rPr>
          <w:sz w:val="20"/>
          <w:szCs w:val="20"/>
        </w:rPr>
        <w:t xml:space="preserve"> potravine nepresahuje 20 mg/kg. Toto nariadenie sa uplatňuje od 1. januára 2012 </w:t>
      </w:r>
      <w:r w:rsidR="005E5640" w:rsidRPr="005A5D18">
        <w:rPr>
          <w:b/>
          <w:sz w:val="20"/>
          <w:szCs w:val="20"/>
        </w:rPr>
        <w:t>(</w:t>
      </w:r>
      <w:r w:rsidR="005E5640">
        <w:rPr>
          <w:b/>
          <w:sz w:val="20"/>
          <w:szCs w:val="20"/>
        </w:rPr>
        <w:t>Ú.v.E.Ú. L16, 2009</w:t>
      </w:r>
      <w:r w:rsidR="005E5640" w:rsidRPr="005A5D18">
        <w:rPr>
          <w:b/>
          <w:sz w:val="20"/>
          <w:szCs w:val="20"/>
        </w:rPr>
        <w:t>).</w:t>
      </w:r>
      <w:r w:rsidR="002521F2">
        <w:rPr>
          <w:b/>
          <w:sz w:val="20"/>
          <w:szCs w:val="20"/>
        </w:rPr>
        <w:t xml:space="preserve"> </w:t>
      </w:r>
      <w:r w:rsidR="002521F2" w:rsidRPr="002521F2">
        <w:rPr>
          <w:sz w:val="20"/>
          <w:szCs w:val="20"/>
        </w:rPr>
        <w:t>B</w:t>
      </w:r>
      <w:r w:rsidR="002521F2">
        <w:rPr>
          <w:sz w:val="20"/>
          <w:szCs w:val="20"/>
        </w:rPr>
        <w:t>ezlepkové potraviny sa označujú logom znázorňujúcim preškrtnutý pšeničný klas.</w:t>
      </w:r>
    </w:p>
    <w:p w:rsidR="0037580B" w:rsidRDefault="003804AE" w:rsidP="0037580B">
      <w:pPr>
        <w:tabs>
          <w:tab w:val="left" w:pos="113"/>
        </w:tabs>
        <w:jc w:val="center"/>
      </w:pPr>
      <w:r>
        <w:rPr>
          <w:noProof/>
        </w:rPr>
        <w:drawing>
          <wp:inline distT="0" distB="0" distL="0" distR="0">
            <wp:extent cx="1049655" cy="1049655"/>
            <wp:effectExtent l="0" t="0" r="0" b="0"/>
            <wp:docPr id="3" name="irc_mi" descr="celiak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celiak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655" cy="1049655"/>
                    </a:xfrm>
                    <a:prstGeom prst="rect">
                      <a:avLst/>
                    </a:prstGeom>
                    <a:noFill/>
                    <a:ln>
                      <a:noFill/>
                    </a:ln>
                  </pic:spPr>
                </pic:pic>
              </a:graphicData>
            </a:graphic>
          </wp:inline>
        </w:drawing>
      </w:r>
    </w:p>
    <w:p w:rsidR="0037580B" w:rsidRDefault="00D121E6" w:rsidP="00D121E6">
      <w:pPr>
        <w:tabs>
          <w:tab w:val="left" w:pos="113"/>
          <w:tab w:val="left" w:pos="284"/>
        </w:tabs>
        <w:outlineLvl w:val="0"/>
        <w:rPr>
          <w:sz w:val="20"/>
          <w:szCs w:val="20"/>
        </w:rPr>
      </w:pPr>
      <w:r>
        <w:rPr>
          <w:b/>
          <w:sz w:val="20"/>
          <w:szCs w:val="20"/>
        </w:rPr>
        <w:tab/>
      </w:r>
      <w:r w:rsidR="0037580B" w:rsidRPr="002740FB">
        <w:rPr>
          <w:b/>
          <w:sz w:val="20"/>
          <w:szCs w:val="20"/>
        </w:rPr>
        <w:t xml:space="preserve">Obrázok </w:t>
      </w:r>
      <w:r w:rsidR="0037580B">
        <w:rPr>
          <w:b/>
          <w:sz w:val="20"/>
          <w:szCs w:val="20"/>
        </w:rPr>
        <w:t>2</w:t>
      </w:r>
      <w:r w:rsidR="0037580B">
        <w:rPr>
          <w:sz w:val="20"/>
          <w:szCs w:val="20"/>
        </w:rPr>
        <w:t xml:space="preserve"> Označovanie bezlepkových potravín</w:t>
      </w:r>
    </w:p>
    <w:p w:rsidR="0037580B" w:rsidRPr="002521F2" w:rsidRDefault="0037580B" w:rsidP="0037580B">
      <w:pPr>
        <w:tabs>
          <w:tab w:val="left" w:pos="113"/>
        </w:tabs>
        <w:jc w:val="center"/>
        <w:rPr>
          <w:sz w:val="20"/>
          <w:szCs w:val="20"/>
        </w:rPr>
      </w:pPr>
    </w:p>
    <w:p w:rsidR="00A82AE4" w:rsidRDefault="00A82AE4" w:rsidP="00A82AE4">
      <w:pPr>
        <w:tabs>
          <w:tab w:val="left" w:pos="113"/>
          <w:tab w:val="left" w:pos="284"/>
        </w:tabs>
        <w:jc w:val="both"/>
        <w:rPr>
          <w:color w:val="000000"/>
          <w:sz w:val="20"/>
          <w:szCs w:val="20"/>
        </w:rPr>
      </w:pPr>
      <w:r>
        <w:rPr>
          <w:color w:val="000000"/>
          <w:sz w:val="20"/>
          <w:szCs w:val="20"/>
        </w:rPr>
        <w:tab/>
      </w:r>
      <w:r w:rsidRPr="001F4D87">
        <w:rPr>
          <w:color w:val="000000"/>
          <w:sz w:val="20"/>
          <w:szCs w:val="20"/>
        </w:rPr>
        <w:t>Celiakia je celož</w:t>
      </w:r>
      <w:r>
        <w:rPr>
          <w:color w:val="000000"/>
          <w:sz w:val="20"/>
          <w:szCs w:val="20"/>
        </w:rPr>
        <w:t>ivotné ochorenie charakterizo</w:t>
      </w:r>
      <w:r w:rsidRPr="001F4D87">
        <w:rPr>
          <w:color w:val="000000"/>
          <w:sz w:val="20"/>
          <w:szCs w:val="20"/>
        </w:rPr>
        <w:t>vané permanentnou intoleranciou lepku</w:t>
      </w:r>
      <w:r>
        <w:rPr>
          <w:color w:val="000000"/>
          <w:sz w:val="20"/>
          <w:szCs w:val="20"/>
        </w:rPr>
        <w:t xml:space="preserve">. Základným kameňom úspešnej liečby je zavedenie bezlepkovej diéty. To znamená vylúčiť zo stravy pšenicu, raž, jačmeň a triticalle a podľa najnovších údajov aj pohánku a výrobky z nich </w:t>
      </w:r>
      <w:r w:rsidRPr="001F4D87">
        <w:rPr>
          <w:b/>
          <w:color w:val="000000"/>
          <w:sz w:val="20"/>
          <w:szCs w:val="20"/>
        </w:rPr>
        <w:t xml:space="preserve">(Pekárková et al., 2009; Ciclitira et al., 2005b; </w:t>
      </w:r>
      <w:r>
        <w:rPr>
          <w:b/>
          <w:color w:val="000000"/>
          <w:sz w:val="20"/>
          <w:szCs w:val="20"/>
        </w:rPr>
        <w:t>Kanerva et al., 2012</w:t>
      </w:r>
      <w:r w:rsidRPr="001F4D87">
        <w:rPr>
          <w:b/>
          <w:color w:val="000000"/>
          <w:sz w:val="20"/>
          <w:szCs w:val="20"/>
        </w:rPr>
        <w:t>).</w:t>
      </w:r>
      <w:r>
        <w:rPr>
          <w:color w:val="000000"/>
          <w:sz w:val="20"/>
          <w:szCs w:val="20"/>
        </w:rPr>
        <w:t xml:space="preserve"> </w:t>
      </w:r>
    </w:p>
    <w:p w:rsidR="00581254" w:rsidRPr="001F4D87" w:rsidRDefault="00581254" w:rsidP="00581254">
      <w:pPr>
        <w:tabs>
          <w:tab w:val="left" w:pos="113"/>
          <w:tab w:val="left" w:pos="284"/>
        </w:tabs>
        <w:jc w:val="both"/>
        <w:rPr>
          <w:b/>
          <w:sz w:val="20"/>
          <w:szCs w:val="20"/>
        </w:rPr>
      </w:pPr>
      <w:r>
        <w:rPr>
          <w:sz w:val="20"/>
          <w:szCs w:val="20"/>
        </w:rPr>
        <w:tab/>
      </w:r>
      <w:r w:rsidRPr="001F4D87">
        <w:rPr>
          <w:sz w:val="20"/>
          <w:szCs w:val="20"/>
        </w:rPr>
        <w:t xml:space="preserve">Aj starobylé odrody pšenice ako kamut, špalda a einkorn, ktoré </w:t>
      </w:r>
      <w:r>
        <w:rPr>
          <w:sz w:val="20"/>
          <w:szCs w:val="20"/>
        </w:rPr>
        <w:t xml:space="preserve">dnes </w:t>
      </w:r>
      <w:r w:rsidRPr="001F4D87">
        <w:rPr>
          <w:sz w:val="20"/>
          <w:szCs w:val="20"/>
        </w:rPr>
        <w:t>prežívajú renesanciu, sú pre celiatikov škodlivé</w:t>
      </w:r>
      <w:r>
        <w:rPr>
          <w:sz w:val="20"/>
          <w:szCs w:val="20"/>
        </w:rPr>
        <w:t>, pretože majú spoločný genetický základ a podobné aminokyselinové zloženie</w:t>
      </w:r>
      <w:r>
        <w:rPr>
          <w:b/>
          <w:sz w:val="20"/>
          <w:szCs w:val="20"/>
        </w:rPr>
        <w:t xml:space="preserve"> </w:t>
      </w:r>
      <w:r>
        <w:rPr>
          <w:sz w:val="20"/>
          <w:szCs w:val="20"/>
        </w:rPr>
        <w:t>ako moderné odrody pšeníc</w:t>
      </w:r>
      <w:r>
        <w:rPr>
          <w:b/>
          <w:sz w:val="20"/>
          <w:szCs w:val="20"/>
        </w:rPr>
        <w:t xml:space="preserve"> (</w:t>
      </w:r>
      <w:r w:rsidRPr="001F4D87">
        <w:rPr>
          <w:b/>
          <w:color w:val="000000"/>
          <w:sz w:val="20"/>
          <w:szCs w:val="20"/>
        </w:rPr>
        <w:t>Ciclitira et al., 2005b</w:t>
      </w:r>
      <w:r>
        <w:rPr>
          <w:b/>
          <w:color w:val="000000"/>
          <w:sz w:val="20"/>
          <w:szCs w:val="20"/>
        </w:rPr>
        <w:t>).</w:t>
      </w:r>
    </w:p>
    <w:p w:rsidR="00581254" w:rsidRDefault="00581254" w:rsidP="00581254">
      <w:pPr>
        <w:tabs>
          <w:tab w:val="left" w:pos="113"/>
          <w:tab w:val="left" w:pos="284"/>
        </w:tabs>
        <w:jc w:val="both"/>
        <w:rPr>
          <w:b/>
          <w:sz w:val="20"/>
          <w:szCs w:val="20"/>
        </w:rPr>
      </w:pPr>
      <w:r>
        <w:rPr>
          <w:sz w:val="20"/>
          <w:szCs w:val="20"/>
        </w:rPr>
        <w:tab/>
      </w:r>
      <w:r w:rsidRPr="003E402C">
        <w:rPr>
          <w:sz w:val="20"/>
          <w:szCs w:val="20"/>
        </w:rPr>
        <w:t>Ovos predstavuje rizikovú a často disk</w:t>
      </w:r>
      <w:r>
        <w:rPr>
          <w:sz w:val="20"/>
          <w:szCs w:val="20"/>
        </w:rPr>
        <w:t>utovanú potravinu</w:t>
      </w:r>
      <w:r w:rsidRPr="003E402C">
        <w:rPr>
          <w:sz w:val="20"/>
          <w:szCs w:val="20"/>
        </w:rPr>
        <w:t>. Štúdie o konzumácii ovsenej múky u pacientov s celiakiou nie sú jednotné</w:t>
      </w:r>
      <w:r>
        <w:rPr>
          <w:sz w:val="20"/>
          <w:szCs w:val="20"/>
        </w:rPr>
        <w:t xml:space="preserve"> a táto otázka je predmetom prebiehajúceho výskumu</w:t>
      </w:r>
      <w:r w:rsidRPr="003E402C">
        <w:rPr>
          <w:sz w:val="20"/>
          <w:szCs w:val="20"/>
        </w:rPr>
        <w:t xml:space="preserve">. </w:t>
      </w:r>
      <w:r>
        <w:rPr>
          <w:sz w:val="20"/>
          <w:szCs w:val="20"/>
        </w:rPr>
        <w:t>Podľa Nariadenia EÚ o</w:t>
      </w:r>
      <w:r w:rsidRPr="005A1F78">
        <w:rPr>
          <w:sz w:val="20"/>
          <w:szCs w:val="20"/>
        </w:rPr>
        <w:t xml:space="preserve">vos v potravinách </w:t>
      </w:r>
      <w:r>
        <w:rPr>
          <w:sz w:val="20"/>
          <w:szCs w:val="20"/>
        </w:rPr>
        <w:t xml:space="preserve">určených pre celiatikov </w:t>
      </w:r>
      <w:r w:rsidRPr="005A1F78">
        <w:rPr>
          <w:sz w:val="20"/>
          <w:szCs w:val="20"/>
        </w:rPr>
        <w:t>musí byť špeciálne vypestovaný, pripravený a/alebo spracovaný tak, aby sa predišlo kontaminácii pšenicou, ražou, jačmeňom alebo ich kríženými variantmi, pričom obsah gluténu nesm</w:t>
      </w:r>
      <w:r>
        <w:rPr>
          <w:sz w:val="20"/>
          <w:szCs w:val="20"/>
        </w:rPr>
        <w:t xml:space="preserve">ie </w:t>
      </w:r>
      <w:r>
        <w:rPr>
          <w:sz w:val="20"/>
          <w:szCs w:val="20"/>
        </w:rPr>
        <w:lastRenderedPageBreak/>
        <w:t xml:space="preserve">presiahnuť 20 mg/kg </w:t>
      </w:r>
      <w:r w:rsidRPr="0023288C">
        <w:rPr>
          <w:b/>
          <w:sz w:val="20"/>
          <w:szCs w:val="20"/>
        </w:rPr>
        <w:t>(</w:t>
      </w:r>
      <w:r>
        <w:rPr>
          <w:b/>
          <w:sz w:val="20"/>
          <w:szCs w:val="20"/>
        </w:rPr>
        <w:t>Cic</w:t>
      </w:r>
      <w:r w:rsidR="006D5890">
        <w:rPr>
          <w:b/>
          <w:sz w:val="20"/>
          <w:szCs w:val="20"/>
        </w:rPr>
        <w:t>lit</w:t>
      </w:r>
      <w:r>
        <w:rPr>
          <w:b/>
          <w:sz w:val="20"/>
          <w:szCs w:val="20"/>
        </w:rPr>
        <w:t>ira et al., 2005b; Čierna, 2009; Ú.v.E.Ú. L16, 2009</w:t>
      </w:r>
      <w:r w:rsidRPr="005A5D18">
        <w:rPr>
          <w:b/>
          <w:sz w:val="20"/>
          <w:szCs w:val="20"/>
        </w:rPr>
        <w:t>).</w:t>
      </w:r>
    </w:p>
    <w:p w:rsidR="00FF739E" w:rsidRDefault="00FF739E" w:rsidP="00FF739E">
      <w:pPr>
        <w:tabs>
          <w:tab w:val="left" w:pos="113"/>
          <w:tab w:val="left" w:pos="284"/>
        </w:tabs>
        <w:jc w:val="both"/>
        <w:rPr>
          <w:b/>
          <w:sz w:val="20"/>
          <w:szCs w:val="20"/>
        </w:rPr>
      </w:pPr>
      <w:r>
        <w:rPr>
          <w:sz w:val="20"/>
          <w:szCs w:val="20"/>
        </w:rPr>
        <w:tab/>
      </w:r>
      <w:r w:rsidRPr="003E402C">
        <w:rPr>
          <w:sz w:val="20"/>
          <w:szCs w:val="20"/>
        </w:rPr>
        <w:t>Bezlepková diéta nepredstavuje len vylúčenie pekárskych výrobkov z uvedených obilnín, ale treba si uvedomiť, že múka sa pridáva aj do veľkého množstva ďalších</w:t>
      </w:r>
      <w:r>
        <w:t xml:space="preserve"> </w:t>
      </w:r>
      <w:r w:rsidRPr="003E402C">
        <w:rPr>
          <w:sz w:val="20"/>
          <w:szCs w:val="20"/>
        </w:rPr>
        <w:t>potravín. Zložky obilnín sú súčasťou mnohých hotových pokrmov, polotovarov aj prísad</w:t>
      </w:r>
      <w:r>
        <w:rPr>
          <w:sz w:val="20"/>
          <w:szCs w:val="20"/>
        </w:rPr>
        <w:t xml:space="preserve">; </w:t>
      </w:r>
      <w:r w:rsidR="000D3A4D">
        <w:rPr>
          <w:sz w:val="20"/>
          <w:szCs w:val="20"/>
        </w:rPr>
        <w:t>l</w:t>
      </w:r>
      <w:r w:rsidRPr="003E402C">
        <w:rPr>
          <w:sz w:val="20"/>
          <w:szCs w:val="20"/>
        </w:rPr>
        <w:t>epok môžu obsahovať potravinové prísady, emulgátory a stabilizátory, ktoré sa môžu nachádzať v jogurt</w:t>
      </w:r>
      <w:r w:rsidR="000D3A4D">
        <w:rPr>
          <w:sz w:val="20"/>
          <w:szCs w:val="20"/>
        </w:rPr>
        <w:t>e</w:t>
      </w:r>
      <w:r w:rsidRPr="003E402C">
        <w:rPr>
          <w:sz w:val="20"/>
          <w:szCs w:val="20"/>
        </w:rPr>
        <w:t>, kečupe, údeninách, zmrzline, sladkostiach, čokoláde a rôznych konzervovaných potravinách</w:t>
      </w:r>
      <w:r>
        <w:rPr>
          <w:sz w:val="20"/>
          <w:szCs w:val="20"/>
        </w:rPr>
        <w:t xml:space="preserve"> </w:t>
      </w:r>
      <w:r w:rsidRPr="0067194D">
        <w:rPr>
          <w:b/>
          <w:sz w:val="20"/>
          <w:szCs w:val="20"/>
        </w:rPr>
        <w:t>(Čierna, 2009</w:t>
      </w:r>
      <w:r>
        <w:rPr>
          <w:b/>
          <w:sz w:val="20"/>
          <w:szCs w:val="20"/>
        </w:rPr>
        <w:t>; Pekárková et al., 2009</w:t>
      </w:r>
      <w:r w:rsidRPr="0067194D">
        <w:rPr>
          <w:b/>
          <w:sz w:val="20"/>
          <w:szCs w:val="20"/>
        </w:rPr>
        <w:t>).</w:t>
      </w:r>
    </w:p>
    <w:p w:rsidR="000D3A4D" w:rsidRDefault="000D3A4D" w:rsidP="000D3A4D">
      <w:pPr>
        <w:tabs>
          <w:tab w:val="left" w:pos="113"/>
          <w:tab w:val="left" w:pos="284"/>
        </w:tabs>
        <w:jc w:val="both"/>
        <w:rPr>
          <w:b/>
          <w:sz w:val="20"/>
          <w:szCs w:val="20"/>
        </w:rPr>
      </w:pPr>
      <w:r>
        <w:rPr>
          <w:sz w:val="20"/>
          <w:szCs w:val="20"/>
        </w:rPr>
        <w:tab/>
      </w:r>
      <w:r w:rsidRPr="003E402C">
        <w:rPr>
          <w:sz w:val="20"/>
          <w:szCs w:val="20"/>
        </w:rPr>
        <w:t xml:space="preserve">Ako náhradu možno </w:t>
      </w:r>
      <w:r>
        <w:rPr>
          <w:sz w:val="20"/>
          <w:szCs w:val="20"/>
        </w:rPr>
        <w:t xml:space="preserve">použiť </w:t>
      </w:r>
      <w:r w:rsidRPr="003E402C">
        <w:rPr>
          <w:sz w:val="20"/>
          <w:szCs w:val="20"/>
        </w:rPr>
        <w:t>potraviny vyrobené z kukurice, sóje, zemiakov, ryže, amarantu</w:t>
      </w:r>
      <w:r>
        <w:rPr>
          <w:sz w:val="20"/>
          <w:szCs w:val="20"/>
        </w:rPr>
        <w:t xml:space="preserve"> a</w:t>
      </w:r>
      <w:r w:rsidRPr="003E402C">
        <w:rPr>
          <w:sz w:val="20"/>
          <w:szCs w:val="20"/>
        </w:rPr>
        <w:t> iných plodín, ktoré neobsahujú lepok</w:t>
      </w:r>
      <w:r>
        <w:rPr>
          <w:sz w:val="20"/>
          <w:szCs w:val="20"/>
        </w:rPr>
        <w:t xml:space="preserve"> </w:t>
      </w:r>
      <w:r w:rsidRPr="002740FB">
        <w:rPr>
          <w:b/>
          <w:sz w:val="20"/>
          <w:szCs w:val="20"/>
        </w:rPr>
        <w:t>(Pekárková et al., 2009; Čierna, 2009; Krajčírová, 200</w:t>
      </w:r>
      <w:r w:rsidR="00111A6B">
        <w:rPr>
          <w:b/>
          <w:sz w:val="20"/>
          <w:szCs w:val="20"/>
        </w:rPr>
        <w:t>7</w:t>
      </w:r>
      <w:r w:rsidRPr="002740FB">
        <w:rPr>
          <w:b/>
          <w:sz w:val="20"/>
          <w:szCs w:val="20"/>
        </w:rPr>
        <w:t>;</w:t>
      </w:r>
      <w:r>
        <w:rPr>
          <w:b/>
          <w:sz w:val="20"/>
          <w:szCs w:val="20"/>
        </w:rPr>
        <w:t xml:space="preserve"> Ciclitira, Moodie, 2003</w:t>
      </w:r>
      <w:r w:rsidRPr="002740FB">
        <w:rPr>
          <w:b/>
          <w:sz w:val="20"/>
          <w:szCs w:val="20"/>
        </w:rPr>
        <w:t>).</w:t>
      </w:r>
    </w:p>
    <w:p w:rsidR="00602333" w:rsidRDefault="008D0941" w:rsidP="009B5286">
      <w:pPr>
        <w:tabs>
          <w:tab w:val="left" w:pos="113"/>
          <w:tab w:val="left" w:pos="284"/>
        </w:tabs>
        <w:jc w:val="both"/>
        <w:rPr>
          <w:sz w:val="20"/>
          <w:szCs w:val="20"/>
        </w:rPr>
      </w:pPr>
      <w:r>
        <w:rPr>
          <w:sz w:val="20"/>
          <w:szCs w:val="20"/>
        </w:rPr>
        <w:tab/>
      </w:r>
      <w:r>
        <w:rPr>
          <w:sz w:val="20"/>
          <w:szCs w:val="20"/>
        </w:rPr>
        <w:tab/>
      </w:r>
    </w:p>
    <w:p w:rsidR="00602333" w:rsidRPr="006F37B0" w:rsidRDefault="00602333" w:rsidP="00D244DB">
      <w:pPr>
        <w:tabs>
          <w:tab w:val="left" w:pos="113"/>
          <w:tab w:val="left" w:pos="142"/>
        </w:tabs>
        <w:jc w:val="both"/>
        <w:outlineLvl w:val="0"/>
        <w:rPr>
          <w:b/>
          <w:caps/>
          <w:sz w:val="22"/>
          <w:szCs w:val="22"/>
        </w:rPr>
      </w:pPr>
      <w:r w:rsidRPr="006F37B0">
        <w:rPr>
          <w:b/>
          <w:caps/>
          <w:sz w:val="22"/>
          <w:szCs w:val="22"/>
        </w:rPr>
        <w:t xml:space="preserve">Moderné prístupy </w:t>
      </w:r>
      <w:r w:rsidR="003E53E6" w:rsidRPr="006F37B0">
        <w:rPr>
          <w:b/>
          <w:caps/>
          <w:sz w:val="22"/>
          <w:szCs w:val="22"/>
        </w:rPr>
        <w:t xml:space="preserve">vo výskume  a liečbe </w:t>
      </w:r>
      <w:r w:rsidRPr="006F37B0">
        <w:rPr>
          <w:b/>
          <w:caps/>
          <w:sz w:val="22"/>
          <w:szCs w:val="22"/>
        </w:rPr>
        <w:t>celiakie</w:t>
      </w:r>
    </w:p>
    <w:p w:rsidR="00111A6B" w:rsidRDefault="005A1F78" w:rsidP="005A1F78">
      <w:pPr>
        <w:tabs>
          <w:tab w:val="left" w:pos="113"/>
        </w:tabs>
        <w:jc w:val="both"/>
        <w:rPr>
          <w:sz w:val="20"/>
          <w:szCs w:val="20"/>
        </w:rPr>
      </w:pPr>
      <w:r>
        <w:rPr>
          <w:sz w:val="20"/>
          <w:szCs w:val="20"/>
        </w:rPr>
        <w:tab/>
      </w:r>
      <w:r w:rsidRPr="005A1F78">
        <w:rPr>
          <w:sz w:val="20"/>
          <w:szCs w:val="20"/>
        </w:rPr>
        <w:t xml:space="preserve">Zistenie, že črevná mikroflóra pacientov s celiakiou sa líši od zdravých jedincov, poskytuje nové možnosti </w:t>
      </w:r>
      <w:r w:rsidR="00521DEA">
        <w:rPr>
          <w:sz w:val="20"/>
          <w:szCs w:val="20"/>
        </w:rPr>
        <w:t xml:space="preserve">v použití probiotických mikroorganizmov, ktoré sa </w:t>
      </w:r>
      <w:r w:rsidRPr="005A1F78">
        <w:rPr>
          <w:sz w:val="20"/>
          <w:szCs w:val="20"/>
        </w:rPr>
        <w:t xml:space="preserve">môžu podieľať na zlepšení zdravotného stavu celiatikov </w:t>
      </w:r>
      <w:r w:rsidR="00521DEA">
        <w:rPr>
          <w:sz w:val="20"/>
          <w:szCs w:val="20"/>
        </w:rPr>
        <w:t xml:space="preserve">rôznymi </w:t>
      </w:r>
      <w:r w:rsidRPr="005A1F78">
        <w:rPr>
          <w:sz w:val="20"/>
          <w:szCs w:val="20"/>
        </w:rPr>
        <w:t>mechanizmami</w:t>
      </w:r>
      <w:r w:rsidR="00111A6B">
        <w:rPr>
          <w:sz w:val="20"/>
          <w:szCs w:val="20"/>
        </w:rPr>
        <w:t xml:space="preserve">. </w:t>
      </w:r>
    </w:p>
    <w:p w:rsidR="001B1726" w:rsidRDefault="00111A6B" w:rsidP="005A1F78">
      <w:pPr>
        <w:tabs>
          <w:tab w:val="left" w:pos="113"/>
        </w:tabs>
        <w:jc w:val="both"/>
        <w:rPr>
          <w:b/>
          <w:sz w:val="20"/>
          <w:szCs w:val="20"/>
        </w:rPr>
      </w:pPr>
      <w:r>
        <w:rPr>
          <w:sz w:val="20"/>
          <w:szCs w:val="20"/>
        </w:rPr>
        <w:tab/>
      </w:r>
      <w:r w:rsidR="0023288C" w:rsidRPr="0023288C">
        <w:rPr>
          <w:sz w:val="20"/>
          <w:szCs w:val="20"/>
        </w:rPr>
        <w:t>Vybrané laktobacily so špecifickými peptidázami</w:t>
      </w:r>
      <w:r w:rsidR="0023288C">
        <w:rPr>
          <w:sz w:val="20"/>
          <w:szCs w:val="20"/>
        </w:rPr>
        <w:t xml:space="preserve"> boli použité </w:t>
      </w:r>
      <w:r w:rsidR="002521F2">
        <w:rPr>
          <w:sz w:val="20"/>
          <w:szCs w:val="20"/>
        </w:rPr>
        <w:t xml:space="preserve">napr. </w:t>
      </w:r>
      <w:r w:rsidR="0023288C">
        <w:rPr>
          <w:sz w:val="20"/>
          <w:szCs w:val="20"/>
        </w:rPr>
        <w:t>pri výrobe kváskového chleba. Výsledky štúdie preukázali, že pacienti s celiakiou tolerovali takýto chlieb</w:t>
      </w:r>
      <w:r w:rsidR="002521F2">
        <w:rPr>
          <w:sz w:val="20"/>
          <w:szCs w:val="20"/>
        </w:rPr>
        <w:t xml:space="preserve"> lepšie v porovnaní s „klasickým“ chlebom</w:t>
      </w:r>
      <w:r w:rsidR="0023288C">
        <w:rPr>
          <w:sz w:val="20"/>
          <w:szCs w:val="20"/>
        </w:rPr>
        <w:t xml:space="preserve"> </w:t>
      </w:r>
      <w:r w:rsidR="0023288C" w:rsidRPr="0023288C">
        <w:rPr>
          <w:b/>
          <w:sz w:val="20"/>
          <w:szCs w:val="20"/>
        </w:rPr>
        <w:t>(Ciclitira et al., 2005</w:t>
      </w:r>
      <w:r w:rsidR="00597503">
        <w:rPr>
          <w:b/>
          <w:sz w:val="20"/>
          <w:szCs w:val="20"/>
        </w:rPr>
        <w:t>b</w:t>
      </w:r>
      <w:r w:rsidR="0023288C" w:rsidRPr="0023288C">
        <w:rPr>
          <w:b/>
          <w:sz w:val="20"/>
          <w:szCs w:val="20"/>
        </w:rPr>
        <w:t>).</w:t>
      </w:r>
    </w:p>
    <w:p w:rsidR="0005206D" w:rsidRDefault="00337C46" w:rsidP="0005206D">
      <w:pPr>
        <w:tabs>
          <w:tab w:val="left" w:pos="113"/>
        </w:tabs>
        <w:jc w:val="both"/>
        <w:rPr>
          <w:b/>
          <w:sz w:val="20"/>
          <w:szCs w:val="20"/>
        </w:rPr>
      </w:pPr>
      <w:r w:rsidRPr="00337C46">
        <w:rPr>
          <w:sz w:val="20"/>
          <w:szCs w:val="20"/>
        </w:rPr>
        <w:tab/>
      </w:r>
      <w:r w:rsidR="00884FDD">
        <w:rPr>
          <w:sz w:val="20"/>
          <w:szCs w:val="20"/>
        </w:rPr>
        <w:t xml:space="preserve">Rozsiahle možnosti v príprave bezlepkových </w:t>
      </w:r>
      <w:r w:rsidR="00250574">
        <w:rPr>
          <w:sz w:val="20"/>
          <w:szCs w:val="20"/>
        </w:rPr>
        <w:t xml:space="preserve">surovín </w:t>
      </w:r>
      <w:r w:rsidR="00884FDD">
        <w:rPr>
          <w:sz w:val="20"/>
          <w:szCs w:val="20"/>
        </w:rPr>
        <w:t xml:space="preserve"> prináša</w:t>
      </w:r>
      <w:r w:rsidR="00250574">
        <w:rPr>
          <w:sz w:val="20"/>
          <w:szCs w:val="20"/>
        </w:rPr>
        <w:t>jú</w:t>
      </w:r>
      <w:r w:rsidR="00884FDD">
        <w:rPr>
          <w:sz w:val="20"/>
          <w:szCs w:val="20"/>
        </w:rPr>
        <w:t xml:space="preserve"> </w:t>
      </w:r>
      <w:r w:rsidR="00250574">
        <w:rPr>
          <w:sz w:val="20"/>
          <w:szCs w:val="20"/>
        </w:rPr>
        <w:t>moderné genetické metódy</w:t>
      </w:r>
      <w:r w:rsidR="00884FDD">
        <w:rPr>
          <w:sz w:val="20"/>
          <w:szCs w:val="20"/>
        </w:rPr>
        <w:t xml:space="preserve">. </w:t>
      </w:r>
      <w:r w:rsidRPr="00337C46">
        <w:rPr>
          <w:sz w:val="20"/>
          <w:szCs w:val="20"/>
        </w:rPr>
        <w:t>Genetická</w:t>
      </w:r>
      <w:r w:rsidR="0005206D">
        <w:rPr>
          <w:sz w:val="20"/>
          <w:szCs w:val="20"/>
        </w:rPr>
        <w:t xml:space="preserve"> manipulácia a prenos netoxických gluténových frakcií do kukurice, </w:t>
      </w:r>
      <w:r w:rsidR="00250574">
        <w:rPr>
          <w:sz w:val="20"/>
          <w:szCs w:val="20"/>
        </w:rPr>
        <w:t xml:space="preserve">je jednou z možností, ako </w:t>
      </w:r>
      <w:r w:rsidR="0005206D">
        <w:rPr>
          <w:sz w:val="20"/>
          <w:szCs w:val="20"/>
        </w:rPr>
        <w:t xml:space="preserve">vytvoriť produkt s dobrými pekárskymi vlastnosťami </w:t>
      </w:r>
      <w:r w:rsidR="0005206D" w:rsidRPr="0005206D">
        <w:rPr>
          <w:b/>
          <w:sz w:val="20"/>
          <w:szCs w:val="20"/>
        </w:rPr>
        <w:t>(Ciclitira et al., 2005b;</w:t>
      </w:r>
      <w:r w:rsidR="0005206D">
        <w:rPr>
          <w:sz w:val="20"/>
          <w:szCs w:val="20"/>
        </w:rPr>
        <w:t xml:space="preserve">  </w:t>
      </w:r>
      <w:r w:rsidR="0005206D">
        <w:rPr>
          <w:b/>
          <w:sz w:val="20"/>
          <w:szCs w:val="20"/>
        </w:rPr>
        <w:t>Schuppan et al., 2009</w:t>
      </w:r>
      <w:r w:rsidR="0005206D" w:rsidRPr="00712740">
        <w:rPr>
          <w:b/>
          <w:sz w:val="20"/>
          <w:szCs w:val="20"/>
        </w:rPr>
        <w:t>).</w:t>
      </w:r>
    </w:p>
    <w:p w:rsidR="0023288C" w:rsidRPr="00712740" w:rsidRDefault="00521DEA" w:rsidP="005A1F78">
      <w:pPr>
        <w:tabs>
          <w:tab w:val="left" w:pos="113"/>
        </w:tabs>
        <w:jc w:val="both"/>
        <w:rPr>
          <w:b/>
          <w:sz w:val="20"/>
          <w:szCs w:val="20"/>
        </w:rPr>
      </w:pPr>
      <w:r>
        <w:rPr>
          <w:b/>
          <w:sz w:val="20"/>
          <w:szCs w:val="20"/>
        </w:rPr>
        <w:tab/>
      </w:r>
      <w:r w:rsidRPr="00521DEA">
        <w:rPr>
          <w:sz w:val="20"/>
          <w:szCs w:val="20"/>
        </w:rPr>
        <w:t>Jednou z navrhovaných možností liečby celiakie bola inhibícia</w:t>
      </w:r>
      <w:r>
        <w:rPr>
          <w:b/>
          <w:sz w:val="20"/>
          <w:szCs w:val="20"/>
        </w:rPr>
        <w:t xml:space="preserve"> </w:t>
      </w:r>
      <w:r w:rsidR="00712740" w:rsidRPr="00521DEA">
        <w:rPr>
          <w:sz w:val="20"/>
          <w:szCs w:val="20"/>
        </w:rPr>
        <w:t>tkanivovej transglutaminázy. Ukázalo sa však, že tento enzým má rôznorodú biologickú úlohu a aj lokálna inhibícia môže spôsobiť</w:t>
      </w:r>
      <w:r w:rsidR="00337C46" w:rsidRPr="00521DEA">
        <w:rPr>
          <w:sz w:val="20"/>
          <w:szCs w:val="20"/>
        </w:rPr>
        <w:t xml:space="preserve"> nepredvídané nežiaduce účinky</w:t>
      </w:r>
      <w:r>
        <w:rPr>
          <w:sz w:val="20"/>
          <w:szCs w:val="20"/>
        </w:rPr>
        <w:t>. V súčasnosti sa s</w:t>
      </w:r>
      <w:r w:rsidR="00712740">
        <w:rPr>
          <w:sz w:val="20"/>
          <w:szCs w:val="20"/>
        </w:rPr>
        <w:t xml:space="preserve">kúmajú </w:t>
      </w:r>
      <w:r w:rsidR="00F658CC">
        <w:rPr>
          <w:sz w:val="20"/>
          <w:szCs w:val="20"/>
        </w:rPr>
        <w:t xml:space="preserve">najmä </w:t>
      </w:r>
      <w:r w:rsidR="00EA781A">
        <w:rPr>
          <w:sz w:val="20"/>
          <w:szCs w:val="20"/>
        </w:rPr>
        <w:t>možnosti obnovy imunologickej tolerancie na glutén, čo by bolo ideálnym liekom pre liečbu celiakie. Podanie antigénu s cieľom desenzitizovať auto-reakciu voči vlastným antigénom v pokusoch na zvieratách preukázalo ochranu pred vznikom niektorých autoimunitných ochorení</w:t>
      </w:r>
      <w:r w:rsidR="00E745DD">
        <w:rPr>
          <w:sz w:val="20"/>
          <w:szCs w:val="20"/>
        </w:rPr>
        <w:t>. Pochopenie mechanizmov, ktoré vedú k strate tolerancie na glutén, umožní identifikovať jednotlivcov s potenciálnym rozvojom tohto ochorenia a v budúcnosti vyvinúť imunomodulačné postupy na liečbu celiakie šité na mieru</w:t>
      </w:r>
      <w:r w:rsidR="00EA781A">
        <w:rPr>
          <w:sz w:val="20"/>
          <w:szCs w:val="20"/>
        </w:rPr>
        <w:t xml:space="preserve"> </w:t>
      </w:r>
      <w:r w:rsidR="00712740" w:rsidRPr="00712740">
        <w:rPr>
          <w:b/>
          <w:sz w:val="20"/>
          <w:szCs w:val="20"/>
        </w:rPr>
        <w:t>(Dewar et al., 2004</w:t>
      </w:r>
      <w:r w:rsidR="00EB6FCA">
        <w:rPr>
          <w:b/>
          <w:sz w:val="20"/>
          <w:szCs w:val="20"/>
        </w:rPr>
        <w:t>; Schuppan et al., 2009</w:t>
      </w:r>
      <w:r w:rsidR="00712740" w:rsidRPr="00712740">
        <w:rPr>
          <w:b/>
          <w:sz w:val="20"/>
          <w:szCs w:val="20"/>
        </w:rPr>
        <w:t>).</w:t>
      </w:r>
    </w:p>
    <w:p w:rsidR="00602333" w:rsidRPr="0023288C" w:rsidRDefault="00602333" w:rsidP="00C045E4">
      <w:pPr>
        <w:tabs>
          <w:tab w:val="left" w:pos="113"/>
          <w:tab w:val="left" w:pos="142"/>
        </w:tabs>
        <w:jc w:val="both"/>
        <w:rPr>
          <w:sz w:val="20"/>
          <w:szCs w:val="20"/>
        </w:rPr>
      </w:pPr>
    </w:p>
    <w:p w:rsidR="00A1230C" w:rsidRPr="006F37B0" w:rsidRDefault="00604F7B" w:rsidP="00D244DB">
      <w:pPr>
        <w:pStyle w:val="sta"/>
        <w:outlineLvl w:val="0"/>
        <w:rPr>
          <w:rFonts w:ascii="Times New Roman" w:hAnsi="Times New Roman"/>
          <w:szCs w:val="22"/>
          <w:lang w:val="sk-SK"/>
        </w:rPr>
      </w:pPr>
      <w:r w:rsidRPr="006F37B0">
        <w:rPr>
          <w:rFonts w:ascii="Times New Roman" w:hAnsi="Times New Roman"/>
          <w:szCs w:val="22"/>
          <w:lang w:val="sk-SK"/>
        </w:rPr>
        <w:t>LiTERATÚRA</w:t>
      </w:r>
    </w:p>
    <w:p w:rsidR="00DE3367" w:rsidRPr="00DB70C7" w:rsidRDefault="00DE3367" w:rsidP="00DE3367">
      <w:pPr>
        <w:ind w:firstLine="142"/>
        <w:jc w:val="both"/>
        <w:rPr>
          <w:sz w:val="20"/>
          <w:szCs w:val="20"/>
        </w:rPr>
      </w:pPr>
      <w:r>
        <w:rPr>
          <w:color w:val="000000"/>
          <w:sz w:val="20"/>
          <w:szCs w:val="20"/>
        </w:rPr>
        <w:t>A</w:t>
      </w:r>
      <w:r w:rsidRPr="00DE3367">
        <w:rPr>
          <w:color w:val="000000"/>
          <w:sz w:val="20"/>
          <w:szCs w:val="20"/>
        </w:rPr>
        <w:t xml:space="preserve">ccomando, </w:t>
      </w:r>
      <w:r>
        <w:rPr>
          <w:color w:val="000000"/>
          <w:sz w:val="20"/>
          <w:szCs w:val="20"/>
        </w:rPr>
        <w:t>S</w:t>
      </w:r>
      <w:r w:rsidRPr="00DE3367">
        <w:rPr>
          <w:color w:val="000000"/>
          <w:sz w:val="20"/>
          <w:szCs w:val="20"/>
        </w:rPr>
        <w:t xml:space="preserve">., </w:t>
      </w:r>
      <w:r>
        <w:rPr>
          <w:color w:val="000000"/>
          <w:sz w:val="20"/>
          <w:szCs w:val="20"/>
        </w:rPr>
        <w:t>C</w:t>
      </w:r>
      <w:r w:rsidRPr="00DE3367">
        <w:rPr>
          <w:color w:val="000000"/>
          <w:sz w:val="20"/>
          <w:szCs w:val="20"/>
        </w:rPr>
        <w:t xml:space="preserve">ataldo, </w:t>
      </w:r>
      <w:r>
        <w:rPr>
          <w:color w:val="000000"/>
          <w:sz w:val="20"/>
          <w:szCs w:val="20"/>
        </w:rPr>
        <w:t>F</w:t>
      </w:r>
      <w:r w:rsidRPr="00DE3367">
        <w:rPr>
          <w:color w:val="000000"/>
          <w:sz w:val="20"/>
          <w:szCs w:val="20"/>
        </w:rPr>
        <w:t>.</w:t>
      </w:r>
      <w:r>
        <w:rPr>
          <w:color w:val="000000"/>
          <w:sz w:val="20"/>
          <w:szCs w:val="20"/>
        </w:rPr>
        <w:t xml:space="preserve"> 2004</w:t>
      </w:r>
      <w:r w:rsidRPr="00DE3367">
        <w:rPr>
          <w:color w:val="000000"/>
          <w:sz w:val="20"/>
          <w:szCs w:val="20"/>
        </w:rPr>
        <w:t xml:space="preserve"> </w:t>
      </w:r>
      <w:r w:rsidRPr="00DE3367">
        <w:rPr>
          <w:sz w:val="20"/>
          <w:szCs w:val="20"/>
        </w:rPr>
        <w:t xml:space="preserve">The global village of celiac disease. </w:t>
      </w:r>
      <w:r w:rsidRPr="00DE3367">
        <w:rPr>
          <w:i/>
          <w:sz w:val="20"/>
          <w:szCs w:val="20"/>
        </w:rPr>
        <w:t>Digestive Liver Disease</w:t>
      </w:r>
      <w:r w:rsidRPr="00DE3367">
        <w:rPr>
          <w:sz w:val="20"/>
          <w:szCs w:val="20"/>
        </w:rPr>
        <w:t xml:space="preserve">, </w:t>
      </w:r>
      <w:r>
        <w:rPr>
          <w:sz w:val="20"/>
          <w:szCs w:val="20"/>
        </w:rPr>
        <w:t xml:space="preserve">vol. </w:t>
      </w:r>
      <w:r w:rsidRPr="00DE3367">
        <w:rPr>
          <w:sz w:val="20"/>
          <w:szCs w:val="20"/>
        </w:rPr>
        <w:t xml:space="preserve">36, </w:t>
      </w:r>
      <w:r>
        <w:rPr>
          <w:sz w:val="20"/>
          <w:szCs w:val="20"/>
        </w:rPr>
        <w:t>no. 7, p</w:t>
      </w:r>
      <w:r w:rsidRPr="00DE3367">
        <w:rPr>
          <w:sz w:val="20"/>
          <w:szCs w:val="20"/>
        </w:rPr>
        <w:t xml:space="preserve">. </w:t>
      </w:r>
      <w:r w:rsidRPr="00DB70C7">
        <w:rPr>
          <w:sz w:val="20"/>
          <w:szCs w:val="20"/>
        </w:rPr>
        <w:t xml:space="preserve">492-498. </w:t>
      </w:r>
      <w:r w:rsidR="00DB70C7" w:rsidRPr="008D0941">
        <w:rPr>
          <w:sz w:val="20"/>
          <w:szCs w:val="20"/>
          <w:lang w:val="en-GB"/>
        </w:rPr>
        <w:t>Retrieved from the web</w:t>
      </w:r>
      <w:r w:rsidR="00DB70C7">
        <w:rPr>
          <w:sz w:val="20"/>
          <w:szCs w:val="20"/>
          <w:lang w:val="en-GB"/>
        </w:rPr>
        <w:t>:</w:t>
      </w:r>
      <w:r w:rsidR="00DB70C7" w:rsidRPr="008D0941">
        <w:rPr>
          <w:rFonts w:eastAsia="MS Mincho"/>
          <w:sz w:val="20"/>
          <w:szCs w:val="20"/>
        </w:rPr>
        <w:t xml:space="preserve"> </w:t>
      </w:r>
      <w:r w:rsidR="00DB70C7" w:rsidRPr="00DB70C7">
        <w:rPr>
          <w:sz w:val="20"/>
          <w:szCs w:val="20"/>
        </w:rPr>
        <w:t>doi:10.1016/j.dld.2004.01.026</w:t>
      </w:r>
    </w:p>
    <w:p w:rsidR="003804AE" w:rsidRDefault="003804AE" w:rsidP="005C41E4">
      <w:pPr>
        <w:autoSpaceDE w:val="0"/>
        <w:autoSpaceDN w:val="0"/>
        <w:adjustRightInd w:val="0"/>
        <w:ind w:firstLine="142"/>
        <w:jc w:val="both"/>
        <w:rPr>
          <w:rFonts w:eastAsia="MS Mincho"/>
          <w:sz w:val="20"/>
          <w:szCs w:val="20"/>
        </w:rPr>
      </w:pPr>
      <w:r>
        <w:rPr>
          <w:rFonts w:eastAsia="MS Mincho"/>
          <w:sz w:val="20"/>
          <w:szCs w:val="20"/>
        </w:rPr>
        <w:t xml:space="preserve">Briani, C., Samaroo, D., Alaedini, A. 2008. Celiac disease: From gluten to autoimmunity. </w:t>
      </w:r>
      <w:r w:rsidRPr="00965FFF">
        <w:rPr>
          <w:rFonts w:eastAsia="MS Mincho"/>
          <w:i/>
          <w:sz w:val="20"/>
          <w:szCs w:val="20"/>
        </w:rPr>
        <w:t>Autoimmunity Reviews</w:t>
      </w:r>
      <w:r>
        <w:rPr>
          <w:rFonts w:eastAsia="MS Mincho"/>
          <w:sz w:val="20"/>
          <w:szCs w:val="20"/>
        </w:rPr>
        <w:t>, vol. 7, no. 8, p. 644-650</w:t>
      </w:r>
      <w:r w:rsidRPr="00965FFF">
        <w:rPr>
          <w:rFonts w:eastAsia="MS Mincho"/>
          <w:sz w:val="20"/>
          <w:szCs w:val="20"/>
        </w:rPr>
        <w:t xml:space="preserve">. </w:t>
      </w:r>
      <w:r>
        <w:rPr>
          <w:rFonts w:eastAsia="MS Mincho"/>
          <w:sz w:val="20"/>
          <w:szCs w:val="20"/>
        </w:rPr>
        <w:t xml:space="preserve"> </w:t>
      </w:r>
      <w:r w:rsidRPr="008D0941">
        <w:rPr>
          <w:sz w:val="20"/>
          <w:szCs w:val="20"/>
          <w:lang w:val="en-GB"/>
        </w:rPr>
        <w:t>Retrieved from the web</w:t>
      </w:r>
      <w:r>
        <w:rPr>
          <w:sz w:val="20"/>
          <w:szCs w:val="20"/>
          <w:lang w:val="en-GB"/>
        </w:rPr>
        <w:t>:</w:t>
      </w:r>
      <w:r w:rsidRPr="008D0941">
        <w:rPr>
          <w:rFonts w:eastAsia="MS Mincho"/>
          <w:sz w:val="20"/>
          <w:szCs w:val="20"/>
        </w:rPr>
        <w:t xml:space="preserve"> </w:t>
      </w:r>
      <w:r w:rsidRPr="00965FFF">
        <w:rPr>
          <w:rFonts w:eastAsia="MS Mincho"/>
          <w:sz w:val="20"/>
          <w:szCs w:val="20"/>
        </w:rPr>
        <w:t>doi:10.1016/j.autrev.2008.05.006</w:t>
      </w:r>
    </w:p>
    <w:p w:rsidR="003804AE" w:rsidRPr="005A1F78" w:rsidRDefault="003804AE" w:rsidP="00626299">
      <w:pPr>
        <w:pStyle w:val="PotLitera"/>
        <w:jc w:val="both"/>
        <w:rPr>
          <w:color w:val="000000"/>
        </w:rPr>
      </w:pPr>
      <w:r w:rsidRPr="005A1F78">
        <w:rPr>
          <w:color w:val="000000"/>
        </w:rPr>
        <w:t xml:space="preserve">Catassi, C. 2004. Association of Celiac Disease and Gastrointestinal (GI) Lymphomas and Other GI Cancers. </w:t>
      </w:r>
      <w:r w:rsidRPr="005A1F78">
        <w:rPr>
          <w:i/>
          <w:color w:val="000000"/>
        </w:rPr>
        <w:t>NIH Consensus development conference on celiac disease.</w:t>
      </w:r>
      <w:r w:rsidRPr="005A1F78">
        <w:rPr>
          <w:color w:val="000000"/>
        </w:rPr>
        <w:t xml:space="preserve"> Bethesda: National Institutes of Health,  p. 69-72.</w:t>
      </w:r>
    </w:p>
    <w:p w:rsidR="003804AE" w:rsidRPr="005A1F78" w:rsidRDefault="003804AE" w:rsidP="003804AE">
      <w:pPr>
        <w:pStyle w:val="PotLitera"/>
        <w:jc w:val="both"/>
        <w:rPr>
          <w:color w:val="000000"/>
        </w:rPr>
      </w:pPr>
      <w:r w:rsidRPr="005A1F78">
        <w:lastRenderedPageBreak/>
        <w:t xml:space="preserve">Ciclitira, P.J., Johnson, M.W., Dewar, D.H., Ellis, H.J. 2005a. The pathodenesis of coeliac disease. </w:t>
      </w:r>
      <w:r w:rsidRPr="005A1F78">
        <w:rPr>
          <w:i/>
        </w:rPr>
        <w:t>Molecular Aspects  of Medicine</w:t>
      </w:r>
      <w:r w:rsidRPr="005A1F78">
        <w:t xml:space="preserve">, 26, p. 421-458. </w:t>
      </w:r>
      <w:r w:rsidRPr="005A1F78">
        <w:rPr>
          <w:lang w:val="en-GB"/>
        </w:rPr>
        <w:t>Retrieved from the web:</w:t>
      </w:r>
      <w:r w:rsidRPr="005A1F78">
        <w:t xml:space="preserve"> doi:10.1016/j.mam.2005.05.001</w:t>
      </w:r>
    </w:p>
    <w:p w:rsidR="003804AE" w:rsidRPr="005A1F78" w:rsidRDefault="003804AE" w:rsidP="00626299">
      <w:pPr>
        <w:pStyle w:val="PotLitera"/>
        <w:jc w:val="both"/>
      </w:pPr>
      <w:r w:rsidRPr="005A1F78">
        <w:rPr>
          <w:color w:val="000000"/>
        </w:rPr>
        <w:t xml:space="preserve">Ciclitira, P.J., Ellis, H.J., Lundin, K.E.A. 2005b. Gluten-free diet – what is toxic? </w:t>
      </w:r>
      <w:r w:rsidRPr="005A1F78">
        <w:rPr>
          <w:i/>
          <w:color w:val="000000"/>
        </w:rPr>
        <w:t xml:space="preserve">Best Practice </w:t>
      </w:r>
      <w:r w:rsidRPr="005A1F78">
        <w:rPr>
          <w:i/>
          <w:color w:val="000000"/>
          <w:lang w:val="en-US"/>
        </w:rPr>
        <w:t xml:space="preserve">&amp; </w:t>
      </w:r>
      <w:r w:rsidRPr="005A1F78">
        <w:rPr>
          <w:i/>
          <w:color w:val="000000"/>
        </w:rPr>
        <w:t>Research Clinical Gastroenterology</w:t>
      </w:r>
      <w:r w:rsidRPr="005A1F78">
        <w:rPr>
          <w:color w:val="000000"/>
        </w:rPr>
        <w:t xml:space="preserve">, vol. 19, no. 3, p. 359-371.  </w:t>
      </w:r>
      <w:r w:rsidRPr="005A1F78">
        <w:rPr>
          <w:lang w:val="en-GB"/>
        </w:rPr>
        <w:t>Retrieved from the web:</w:t>
      </w:r>
      <w:r w:rsidRPr="005A1F78">
        <w:t xml:space="preserve"> doi:10.1016/j.bpg.2005.01.003</w:t>
      </w:r>
    </w:p>
    <w:p w:rsidR="003804AE" w:rsidRDefault="003804AE" w:rsidP="005C41E4">
      <w:pPr>
        <w:pStyle w:val="PotLitera"/>
        <w:jc w:val="both"/>
      </w:pPr>
      <w:r>
        <w:rPr>
          <w:rFonts w:eastAsia="MS Mincho"/>
        </w:rPr>
        <w:t xml:space="preserve">Ciclitira, P.J., Moodie, S.J. 2003. Coeliac disease. </w:t>
      </w:r>
      <w:r w:rsidRPr="000A3865">
        <w:rPr>
          <w:i/>
          <w:color w:val="000000"/>
        </w:rPr>
        <w:t>Best Practice</w:t>
      </w:r>
      <w:r>
        <w:rPr>
          <w:i/>
          <w:color w:val="000000"/>
        </w:rPr>
        <w:t xml:space="preserve"> </w:t>
      </w:r>
      <w:r>
        <w:rPr>
          <w:i/>
          <w:color w:val="000000"/>
          <w:lang w:val="en-US"/>
        </w:rPr>
        <w:t xml:space="preserve">&amp; </w:t>
      </w:r>
      <w:r w:rsidRPr="000A3865">
        <w:rPr>
          <w:i/>
          <w:color w:val="000000"/>
        </w:rPr>
        <w:t>Research Clinical Gastroenterology</w:t>
      </w:r>
      <w:r>
        <w:rPr>
          <w:color w:val="000000"/>
        </w:rPr>
        <w:t>, vol. 17, no. 2, p. 181-195</w:t>
      </w:r>
      <w:r w:rsidRPr="005B4F92">
        <w:rPr>
          <w:color w:val="000000"/>
        </w:rPr>
        <w:t>.</w:t>
      </w:r>
      <w:r>
        <w:rPr>
          <w:color w:val="000000"/>
        </w:rPr>
        <w:t xml:space="preserve"> </w:t>
      </w:r>
      <w:r w:rsidRPr="003E402C">
        <w:rPr>
          <w:lang w:val="en-GB"/>
        </w:rPr>
        <w:t>Retrieved from the web</w:t>
      </w:r>
      <w:r>
        <w:rPr>
          <w:lang w:val="en-GB"/>
        </w:rPr>
        <w:t>:</w:t>
      </w:r>
      <w:r w:rsidRPr="005B4F92">
        <w:rPr>
          <w:rFonts w:eastAsia="MS Mincho"/>
        </w:rPr>
        <w:t xml:space="preserve"> doi:10.1053/ybega.2003.367</w:t>
      </w:r>
    </w:p>
    <w:p w:rsidR="003804AE" w:rsidRDefault="003804AE" w:rsidP="005C41E4">
      <w:pPr>
        <w:autoSpaceDE w:val="0"/>
        <w:autoSpaceDN w:val="0"/>
        <w:adjustRightInd w:val="0"/>
        <w:ind w:firstLine="142"/>
        <w:jc w:val="both"/>
        <w:rPr>
          <w:rFonts w:eastAsia="MS Mincho"/>
          <w:sz w:val="20"/>
          <w:szCs w:val="20"/>
        </w:rPr>
      </w:pPr>
      <w:r>
        <w:rPr>
          <w:rFonts w:eastAsia="MS Mincho"/>
          <w:sz w:val="20"/>
          <w:szCs w:val="20"/>
        </w:rPr>
        <w:t xml:space="preserve">Čierna, I. 2009. Liečba celiakie – celoživotná bezlepková diéta. </w:t>
      </w:r>
      <w:r w:rsidRPr="00965FFF">
        <w:rPr>
          <w:rFonts w:eastAsia="MS Mincho"/>
          <w:i/>
          <w:sz w:val="20"/>
          <w:szCs w:val="20"/>
        </w:rPr>
        <w:t>Detský lekár</w:t>
      </w:r>
      <w:r>
        <w:rPr>
          <w:rFonts w:eastAsia="MS Mincho"/>
          <w:sz w:val="20"/>
          <w:szCs w:val="20"/>
        </w:rPr>
        <w:t>, vol. 16, no. 1, p. 8-10.</w:t>
      </w:r>
    </w:p>
    <w:p w:rsidR="003804AE" w:rsidRPr="005A1F78" w:rsidRDefault="003804AE" w:rsidP="00626299">
      <w:pPr>
        <w:pStyle w:val="PotLitera"/>
        <w:jc w:val="both"/>
        <w:rPr>
          <w:rFonts w:eastAsia="MS Mincho"/>
        </w:rPr>
      </w:pPr>
      <w:r w:rsidRPr="005A1F78">
        <w:t>Dewar, D., Pereira, S.P., Ciclitira, P.J. 2004. The pathogenesis of coeliac disease</w:t>
      </w:r>
      <w:r w:rsidRPr="005A1F78">
        <w:rPr>
          <w:i/>
        </w:rPr>
        <w:t>. International Journal of  Biochemistry and Cell Biology,</w:t>
      </w:r>
      <w:r w:rsidRPr="005A1F78">
        <w:t xml:space="preserve"> 36, p. 17-24. </w:t>
      </w:r>
      <w:r w:rsidRPr="005A1F78">
        <w:rPr>
          <w:lang w:val="en-GB"/>
        </w:rPr>
        <w:t>Retrieved from the web:</w:t>
      </w:r>
      <w:r w:rsidRPr="005A1F78">
        <w:rPr>
          <w:rFonts w:eastAsia="MS Mincho"/>
        </w:rPr>
        <w:t xml:space="preserve"> doi</w:t>
      </w:r>
      <w:proofErr w:type="gramStart"/>
      <w:r w:rsidRPr="005A1F78">
        <w:rPr>
          <w:rFonts w:eastAsia="MS Mincho"/>
        </w:rPr>
        <w:t>:10.1016</w:t>
      </w:r>
      <w:proofErr w:type="gramEnd"/>
      <w:r w:rsidRPr="005A1F78">
        <w:rPr>
          <w:rFonts w:eastAsia="MS Mincho"/>
        </w:rPr>
        <w:t>/S1357-2725(03)00239-5</w:t>
      </w:r>
    </w:p>
    <w:p w:rsidR="003804AE" w:rsidRPr="008D0941" w:rsidRDefault="003804AE" w:rsidP="005C41E4">
      <w:pPr>
        <w:autoSpaceDE w:val="0"/>
        <w:autoSpaceDN w:val="0"/>
        <w:adjustRightInd w:val="0"/>
        <w:ind w:firstLine="142"/>
        <w:jc w:val="both"/>
        <w:rPr>
          <w:rFonts w:eastAsia="MS Mincho"/>
          <w:sz w:val="20"/>
          <w:szCs w:val="20"/>
        </w:rPr>
      </w:pPr>
      <w:r>
        <w:rPr>
          <w:rFonts w:eastAsia="MS Mincho"/>
          <w:sz w:val="20"/>
          <w:szCs w:val="20"/>
        </w:rPr>
        <w:t xml:space="preserve">Heap, G.A., van Heel, D.A. 2009. Genetics and pathogenesis of coeliac disease. </w:t>
      </w:r>
      <w:r w:rsidRPr="005C41E4">
        <w:rPr>
          <w:rFonts w:eastAsia="MS Mincho"/>
          <w:i/>
          <w:sz w:val="20"/>
          <w:szCs w:val="20"/>
        </w:rPr>
        <w:t>Seminars in Immunology</w:t>
      </w:r>
      <w:r>
        <w:rPr>
          <w:rFonts w:eastAsia="MS Mincho"/>
          <w:sz w:val="20"/>
          <w:szCs w:val="20"/>
        </w:rPr>
        <w:t xml:space="preserve">, </w:t>
      </w:r>
      <w:r w:rsidRPr="005C41E4">
        <w:rPr>
          <w:rFonts w:eastAsia="MS Mincho"/>
          <w:sz w:val="20"/>
          <w:szCs w:val="20"/>
        </w:rPr>
        <w:t xml:space="preserve">21, p. 346-354. </w:t>
      </w:r>
      <w:r w:rsidRPr="008D0941">
        <w:rPr>
          <w:sz w:val="20"/>
          <w:szCs w:val="20"/>
          <w:lang w:val="en-GB"/>
        </w:rPr>
        <w:t>Retrieved from the web</w:t>
      </w:r>
      <w:r>
        <w:rPr>
          <w:sz w:val="20"/>
          <w:szCs w:val="20"/>
          <w:lang w:val="en-GB"/>
        </w:rPr>
        <w:t>:</w:t>
      </w:r>
      <w:r w:rsidRPr="008D0941">
        <w:rPr>
          <w:rFonts w:eastAsia="MS Mincho"/>
          <w:sz w:val="20"/>
          <w:szCs w:val="20"/>
        </w:rPr>
        <w:t xml:space="preserve"> doi:10.1016/j.smim.2009.04.001</w:t>
      </w:r>
    </w:p>
    <w:p w:rsidR="003804AE" w:rsidRPr="005A1F78" w:rsidRDefault="003804AE" w:rsidP="0083641D">
      <w:pPr>
        <w:pStyle w:val="PotLitera"/>
        <w:jc w:val="both"/>
        <w:rPr>
          <w:color w:val="000000"/>
        </w:rPr>
      </w:pPr>
      <w:r w:rsidRPr="005A1F78">
        <w:t xml:space="preserve">Hill, D.I. 2004. </w:t>
      </w:r>
      <w:r w:rsidRPr="005A1F78">
        <w:rPr>
          <w:color w:val="000000"/>
        </w:rPr>
        <w:t xml:space="preserve">What Are the Sensitivity and Specificity of Serological Tests for Celiac Disease? Do Sensitivity and Specificity Vary in Different Populations?  </w:t>
      </w:r>
      <w:r w:rsidRPr="005A1F78">
        <w:rPr>
          <w:i/>
          <w:color w:val="000000"/>
        </w:rPr>
        <w:t>NIH Consensus development conference on celiac disease.</w:t>
      </w:r>
      <w:r w:rsidRPr="005A1F78">
        <w:rPr>
          <w:color w:val="000000"/>
        </w:rPr>
        <w:t xml:space="preserve"> Bethesda: National Institutes of Health,  p. 27-32.</w:t>
      </w:r>
    </w:p>
    <w:p w:rsidR="003804AE" w:rsidRDefault="003804AE" w:rsidP="00965FFF">
      <w:pPr>
        <w:ind w:firstLine="142"/>
        <w:jc w:val="both"/>
        <w:rPr>
          <w:sz w:val="20"/>
          <w:szCs w:val="20"/>
          <w:lang w:val="en-GB"/>
        </w:rPr>
      </w:pPr>
      <w:r>
        <w:rPr>
          <w:rFonts w:eastAsia="MS Mincho"/>
          <w:sz w:val="20"/>
          <w:szCs w:val="20"/>
        </w:rPr>
        <w:t xml:space="preserve">Howdle, P.D. 2003. Celiac (Coeliac) Disease. In: </w:t>
      </w:r>
      <w:r w:rsidRPr="00965FFF">
        <w:rPr>
          <w:i/>
          <w:sz w:val="20"/>
          <w:szCs w:val="20"/>
        </w:rPr>
        <w:t>Encyclopedia of Food Science and Nutrition</w:t>
      </w:r>
      <w:r w:rsidRPr="00965FFF">
        <w:rPr>
          <w:sz w:val="20"/>
          <w:szCs w:val="20"/>
        </w:rPr>
        <w:t xml:space="preserve">. 2ed. Oxford: </w:t>
      </w:r>
      <w:r w:rsidRPr="00965FFF">
        <w:rPr>
          <w:sz w:val="20"/>
          <w:szCs w:val="20"/>
          <w:lang w:val="en-GB"/>
        </w:rPr>
        <w:t>Academic Press, p. 987-994. ISBN: 978-0-12-227055-0.</w:t>
      </w:r>
    </w:p>
    <w:p w:rsidR="003804AE" w:rsidRDefault="003804AE" w:rsidP="00861AA5">
      <w:pPr>
        <w:ind w:firstLine="142"/>
        <w:jc w:val="both"/>
        <w:rPr>
          <w:sz w:val="20"/>
          <w:szCs w:val="20"/>
        </w:rPr>
      </w:pPr>
      <w:proofErr w:type="gramStart"/>
      <w:r>
        <w:rPr>
          <w:sz w:val="20"/>
          <w:szCs w:val="20"/>
          <w:lang w:val="en-GB"/>
        </w:rPr>
        <w:t>Kanerva, P., Brinck, O., Salovaara, H., Sontag-Strohm, T. 2012.</w:t>
      </w:r>
      <w:proofErr w:type="gramEnd"/>
      <w:r>
        <w:rPr>
          <w:sz w:val="20"/>
          <w:szCs w:val="20"/>
          <w:lang w:val="en-GB"/>
        </w:rPr>
        <w:t xml:space="preserve"> </w:t>
      </w:r>
      <w:proofErr w:type="gramStart"/>
      <w:r>
        <w:rPr>
          <w:sz w:val="20"/>
          <w:szCs w:val="20"/>
          <w:lang w:val="en-GB"/>
        </w:rPr>
        <w:t>Analysis of oat and buckwheat proteins by sandwich R5 ELISA.</w:t>
      </w:r>
      <w:proofErr w:type="gramEnd"/>
      <w:r>
        <w:rPr>
          <w:sz w:val="20"/>
          <w:szCs w:val="20"/>
          <w:lang w:val="en-GB"/>
        </w:rPr>
        <w:t xml:space="preserve"> </w:t>
      </w:r>
      <w:proofErr w:type="gramStart"/>
      <w:r w:rsidRPr="00795C06">
        <w:rPr>
          <w:i/>
          <w:sz w:val="20"/>
          <w:szCs w:val="20"/>
          <w:lang w:val="en-GB"/>
        </w:rPr>
        <w:t>Proceedings of the 25</w:t>
      </w:r>
      <w:r w:rsidRPr="00795C06">
        <w:rPr>
          <w:i/>
          <w:sz w:val="20"/>
          <w:szCs w:val="20"/>
          <w:vertAlign w:val="superscript"/>
          <w:lang w:val="en-GB"/>
        </w:rPr>
        <w:t>th</w:t>
      </w:r>
      <w:r w:rsidRPr="00795C06">
        <w:rPr>
          <w:i/>
          <w:sz w:val="20"/>
          <w:szCs w:val="20"/>
          <w:lang w:val="en-GB"/>
        </w:rPr>
        <w:t xml:space="preserve"> Meeting.</w:t>
      </w:r>
      <w:proofErr w:type="gramEnd"/>
      <w:r w:rsidRPr="00795C06">
        <w:rPr>
          <w:i/>
          <w:sz w:val="20"/>
          <w:szCs w:val="20"/>
          <w:lang w:val="en-GB"/>
        </w:rPr>
        <w:t xml:space="preserve"> </w:t>
      </w:r>
      <w:proofErr w:type="gramStart"/>
      <w:r w:rsidRPr="00795C06">
        <w:rPr>
          <w:i/>
          <w:sz w:val="20"/>
          <w:szCs w:val="20"/>
          <w:lang w:val="en-GB"/>
        </w:rPr>
        <w:t>Working Group on Prolamin Analysis and Toxicity</w:t>
      </w:r>
      <w:r>
        <w:rPr>
          <w:sz w:val="20"/>
          <w:szCs w:val="20"/>
          <w:lang w:val="en-GB"/>
        </w:rPr>
        <w:t>.</w:t>
      </w:r>
      <w:proofErr w:type="gramEnd"/>
      <w:r>
        <w:rPr>
          <w:sz w:val="20"/>
          <w:szCs w:val="20"/>
          <w:lang w:val="en-GB"/>
        </w:rPr>
        <w:t xml:space="preserve">  </w:t>
      </w:r>
      <w:proofErr w:type="gramStart"/>
      <w:r>
        <w:rPr>
          <w:sz w:val="20"/>
          <w:szCs w:val="20"/>
          <w:lang w:val="en-GB"/>
        </w:rPr>
        <w:t>Freising: German Research Centre for Food Chemistry, p. 43-46.</w:t>
      </w:r>
      <w:proofErr w:type="gramEnd"/>
      <w:r>
        <w:rPr>
          <w:sz w:val="20"/>
          <w:szCs w:val="20"/>
          <w:lang w:val="en-GB"/>
        </w:rPr>
        <w:t xml:space="preserve"> </w:t>
      </w:r>
      <w:proofErr w:type="gramStart"/>
      <w:r>
        <w:rPr>
          <w:sz w:val="20"/>
          <w:szCs w:val="20"/>
          <w:lang w:val="en-GB"/>
        </w:rPr>
        <w:t>ISBN 078-3-938896-54-9.</w:t>
      </w:r>
      <w:proofErr w:type="gramEnd"/>
      <w:r>
        <w:rPr>
          <w:sz w:val="20"/>
          <w:szCs w:val="20"/>
          <w:lang w:val="en-GB"/>
        </w:rPr>
        <w:t xml:space="preserve"> </w:t>
      </w:r>
      <w:r>
        <w:rPr>
          <w:sz w:val="20"/>
          <w:szCs w:val="20"/>
        </w:rPr>
        <w:t xml:space="preserve">Available on the web: </w:t>
      </w:r>
      <w:hyperlink r:id="rId13" w:history="1">
        <w:r w:rsidRPr="00095BBE">
          <w:rPr>
            <w:rStyle w:val="Hypertextovprepojenie"/>
            <w:sz w:val="20"/>
            <w:szCs w:val="20"/>
          </w:rPr>
          <w:t>http://www.wgpat.com.ar/proceeding_25th.pdf</w:t>
        </w:r>
      </w:hyperlink>
    </w:p>
    <w:p w:rsidR="003804AE" w:rsidRDefault="003804AE" w:rsidP="005B4F92">
      <w:pPr>
        <w:pStyle w:val="PotLitera"/>
        <w:jc w:val="both"/>
        <w:rPr>
          <w:rFonts w:eastAsia="MS Mincho"/>
        </w:rPr>
      </w:pPr>
      <w:r w:rsidRPr="005A1F78">
        <w:rPr>
          <w:rFonts w:eastAsia="MS Mincho"/>
        </w:rPr>
        <w:t xml:space="preserve">Karell, K., Louka, A.S., Moodie, S.J. et al. 2003.  </w:t>
      </w:r>
      <w:r w:rsidRPr="005A1F78">
        <w:rPr>
          <w:rFonts w:eastAsia="MS Mincho"/>
          <w:bCs/>
        </w:rPr>
        <w:t xml:space="preserve">HLA Types in Celiac Disease Patients not Carrying the </w:t>
      </w:r>
      <w:r w:rsidRPr="005A1F78">
        <w:rPr>
          <w:rFonts w:eastAsia="MS Mincho"/>
          <w:bCs/>
          <w:i/>
          <w:iCs/>
        </w:rPr>
        <w:t xml:space="preserve">DQA1*05-DQB1*02 </w:t>
      </w:r>
      <w:r w:rsidRPr="005A1F78">
        <w:rPr>
          <w:rFonts w:eastAsia="MS Mincho"/>
          <w:bCs/>
        </w:rPr>
        <w:t xml:space="preserve">(DQ2) Heterodimer: Results From </w:t>
      </w:r>
      <w:r w:rsidRPr="005B4F92">
        <w:rPr>
          <w:rFonts w:eastAsia="MS Mincho"/>
          <w:bCs/>
        </w:rPr>
        <w:t>the European</w:t>
      </w:r>
      <w:r>
        <w:rPr>
          <w:rFonts w:eastAsia="MS Mincho"/>
          <w:bCs/>
        </w:rPr>
        <w:t xml:space="preserve"> </w:t>
      </w:r>
      <w:r w:rsidRPr="005B4F92">
        <w:rPr>
          <w:rFonts w:eastAsia="MS Mincho"/>
          <w:bCs/>
        </w:rPr>
        <w:t>Genetics Cluster on Celiac Disease</w:t>
      </w:r>
      <w:r>
        <w:rPr>
          <w:rFonts w:eastAsia="MS Mincho"/>
          <w:bCs/>
        </w:rPr>
        <w:t xml:space="preserve">. </w:t>
      </w:r>
      <w:r w:rsidRPr="005B4F92">
        <w:rPr>
          <w:rFonts w:eastAsia="MS Mincho"/>
          <w:bCs/>
          <w:i/>
        </w:rPr>
        <w:t>Human Immunolog</w:t>
      </w:r>
      <w:r>
        <w:rPr>
          <w:rFonts w:eastAsia="MS Mincho"/>
          <w:bCs/>
          <w:i/>
        </w:rPr>
        <w:t>y</w:t>
      </w:r>
      <w:r>
        <w:rPr>
          <w:rFonts w:eastAsia="MS Mincho"/>
          <w:bCs/>
        </w:rPr>
        <w:t>, 64, p. 469-477</w:t>
      </w:r>
      <w:r w:rsidRPr="005B4F92">
        <w:rPr>
          <w:rFonts w:eastAsia="MS Mincho"/>
          <w:bCs/>
        </w:rPr>
        <w:t xml:space="preserve">. </w:t>
      </w:r>
      <w:r w:rsidRPr="003E402C">
        <w:rPr>
          <w:lang w:val="en-GB"/>
        </w:rPr>
        <w:t>Retrieved from the web</w:t>
      </w:r>
      <w:r>
        <w:rPr>
          <w:lang w:val="en-GB"/>
        </w:rPr>
        <w:t>:</w:t>
      </w:r>
      <w:r w:rsidRPr="005B4F92">
        <w:rPr>
          <w:rFonts w:eastAsia="MS Mincho"/>
        </w:rPr>
        <w:t xml:space="preserve"> doi:</w:t>
      </w:r>
      <w:r>
        <w:rPr>
          <w:rFonts w:eastAsia="MS Mincho"/>
        </w:rPr>
        <w:t xml:space="preserve"> </w:t>
      </w:r>
      <w:r w:rsidRPr="005B4F92">
        <w:rPr>
          <w:rFonts w:eastAsia="MS Mincho"/>
        </w:rPr>
        <w:t>10.1016/S0198-8859(03)00027-2</w:t>
      </w:r>
    </w:p>
    <w:p w:rsidR="003804AE" w:rsidRDefault="003804AE" w:rsidP="009B52CF">
      <w:pPr>
        <w:autoSpaceDE w:val="0"/>
        <w:autoSpaceDN w:val="0"/>
        <w:adjustRightInd w:val="0"/>
        <w:ind w:firstLine="142"/>
        <w:jc w:val="both"/>
        <w:rPr>
          <w:rFonts w:eastAsia="MS Mincho"/>
          <w:sz w:val="20"/>
          <w:szCs w:val="20"/>
        </w:rPr>
      </w:pPr>
      <w:r>
        <w:rPr>
          <w:rFonts w:eastAsia="MS Mincho"/>
          <w:sz w:val="20"/>
          <w:szCs w:val="20"/>
        </w:rPr>
        <w:t xml:space="preserve">Koning, F., Schuppan, D., Cerf-Bensussan, N., Sollid, L.M. 2005. Pathomechanisms in celiac disease. </w:t>
      </w:r>
      <w:r w:rsidRPr="00E852D3">
        <w:rPr>
          <w:i/>
          <w:color w:val="000000"/>
          <w:sz w:val="20"/>
          <w:szCs w:val="20"/>
        </w:rPr>
        <w:t xml:space="preserve">Best Practice </w:t>
      </w:r>
      <w:r w:rsidRPr="00E852D3">
        <w:rPr>
          <w:i/>
          <w:color w:val="000000"/>
          <w:sz w:val="20"/>
          <w:szCs w:val="20"/>
          <w:lang w:val="en-US"/>
        </w:rPr>
        <w:t xml:space="preserve">&amp; </w:t>
      </w:r>
      <w:r w:rsidRPr="00E852D3">
        <w:rPr>
          <w:i/>
          <w:color w:val="000000"/>
          <w:sz w:val="20"/>
          <w:szCs w:val="20"/>
        </w:rPr>
        <w:t>Research Clinical Gastroenterolog</w:t>
      </w:r>
      <w:r>
        <w:rPr>
          <w:i/>
          <w:color w:val="000000"/>
          <w:sz w:val="20"/>
          <w:szCs w:val="20"/>
        </w:rPr>
        <w:t>y,</w:t>
      </w:r>
      <w:r>
        <w:rPr>
          <w:color w:val="000000"/>
          <w:sz w:val="20"/>
          <w:szCs w:val="20"/>
        </w:rPr>
        <w:t xml:space="preserve"> vol. 19, no. 3, p. 373-387</w:t>
      </w:r>
      <w:r w:rsidRPr="00E852D3">
        <w:rPr>
          <w:color w:val="000000"/>
          <w:sz w:val="20"/>
          <w:szCs w:val="20"/>
        </w:rPr>
        <w:t>.</w:t>
      </w:r>
      <w:r>
        <w:rPr>
          <w:color w:val="000000"/>
          <w:sz w:val="20"/>
          <w:szCs w:val="20"/>
        </w:rPr>
        <w:t xml:space="preserve"> </w:t>
      </w:r>
      <w:r w:rsidRPr="008D0941">
        <w:rPr>
          <w:sz w:val="20"/>
          <w:szCs w:val="20"/>
          <w:lang w:val="en-GB"/>
        </w:rPr>
        <w:t>Retrieved from the web</w:t>
      </w:r>
      <w:r>
        <w:rPr>
          <w:sz w:val="20"/>
          <w:szCs w:val="20"/>
          <w:lang w:val="en-GB"/>
        </w:rPr>
        <w:t>:</w:t>
      </w:r>
      <w:r w:rsidRPr="008D0941">
        <w:rPr>
          <w:rFonts w:eastAsia="MS Mincho"/>
          <w:sz w:val="20"/>
          <w:szCs w:val="20"/>
        </w:rPr>
        <w:t xml:space="preserve"> </w:t>
      </w:r>
      <w:r w:rsidRPr="00E852D3">
        <w:rPr>
          <w:rFonts w:eastAsia="MS Mincho"/>
          <w:sz w:val="20"/>
          <w:szCs w:val="20"/>
        </w:rPr>
        <w:t>doi:</w:t>
      </w:r>
      <w:r>
        <w:rPr>
          <w:rFonts w:eastAsia="MS Mincho"/>
          <w:sz w:val="20"/>
          <w:szCs w:val="20"/>
        </w:rPr>
        <w:t xml:space="preserve"> </w:t>
      </w:r>
      <w:r w:rsidRPr="00E852D3">
        <w:rPr>
          <w:rFonts w:eastAsia="MS Mincho"/>
          <w:sz w:val="20"/>
          <w:szCs w:val="20"/>
        </w:rPr>
        <w:t>10.1016/j.bpg.2005.02.003</w:t>
      </w:r>
    </w:p>
    <w:p w:rsidR="003804AE" w:rsidRDefault="003804AE" w:rsidP="00861AA5">
      <w:pPr>
        <w:ind w:firstLine="142"/>
        <w:jc w:val="both"/>
        <w:rPr>
          <w:sz w:val="20"/>
          <w:szCs w:val="20"/>
          <w:lang w:val="en-GB"/>
        </w:rPr>
      </w:pPr>
      <w:r>
        <w:rPr>
          <w:sz w:val="20"/>
          <w:szCs w:val="20"/>
          <w:lang w:val="en-GB"/>
        </w:rPr>
        <w:t xml:space="preserve">Krajčírová, M. 2007. </w:t>
      </w:r>
      <w:proofErr w:type="gramStart"/>
      <w:r>
        <w:rPr>
          <w:sz w:val="20"/>
          <w:szCs w:val="20"/>
          <w:lang w:val="en-GB"/>
        </w:rPr>
        <w:t>Celiakálna choroba v primárnej starostlivosti.</w:t>
      </w:r>
      <w:proofErr w:type="gramEnd"/>
      <w:r>
        <w:rPr>
          <w:sz w:val="20"/>
          <w:szCs w:val="20"/>
          <w:lang w:val="en-GB"/>
        </w:rPr>
        <w:t xml:space="preserve"> </w:t>
      </w:r>
      <w:proofErr w:type="gramStart"/>
      <w:r w:rsidRPr="00F64FC3">
        <w:rPr>
          <w:i/>
          <w:sz w:val="20"/>
          <w:szCs w:val="20"/>
          <w:lang w:val="en-GB"/>
        </w:rPr>
        <w:t>Pediatria pre prax</w:t>
      </w:r>
      <w:r>
        <w:rPr>
          <w:sz w:val="20"/>
          <w:szCs w:val="20"/>
          <w:lang w:val="en-GB"/>
        </w:rPr>
        <w:t>, vol. 8, no. 5, p. 268-269.</w:t>
      </w:r>
      <w:proofErr w:type="gramEnd"/>
    </w:p>
    <w:p w:rsidR="003804AE" w:rsidRDefault="003804AE" w:rsidP="00965FFF">
      <w:pPr>
        <w:ind w:firstLine="142"/>
        <w:jc w:val="both"/>
        <w:rPr>
          <w:sz w:val="20"/>
          <w:szCs w:val="20"/>
          <w:lang w:val="en-GB"/>
        </w:rPr>
      </w:pPr>
      <w:r>
        <w:rPr>
          <w:sz w:val="20"/>
          <w:szCs w:val="20"/>
          <w:lang w:val="en-GB"/>
        </w:rPr>
        <w:t xml:space="preserve">Lukáš, M. 2009. </w:t>
      </w:r>
      <w:proofErr w:type="gramStart"/>
      <w:r>
        <w:rPr>
          <w:sz w:val="20"/>
          <w:szCs w:val="20"/>
          <w:lang w:val="en-GB"/>
        </w:rPr>
        <w:t>Autoimunitně podmíněné záněty střevního traktu.</w:t>
      </w:r>
      <w:proofErr w:type="gramEnd"/>
      <w:r>
        <w:rPr>
          <w:sz w:val="20"/>
          <w:szCs w:val="20"/>
          <w:lang w:val="en-GB"/>
        </w:rPr>
        <w:t xml:space="preserve"> </w:t>
      </w:r>
      <w:proofErr w:type="gramStart"/>
      <w:r w:rsidRPr="00965FFF">
        <w:rPr>
          <w:i/>
          <w:sz w:val="20"/>
          <w:szCs w:val="20"/>
          <w:lang w:val="en-GB"/>
        </w:rPr>
        <w:t>Gastroenterológia pre prax</w:t>
      </w:r>
      <w:r>
        <w:rPr>
          <w:sz w:val="20"/>
          <w:szCs w:val="20"/>
          <w:lang w:val="en-GB"/>
        </w:rPr>
        <w:t>, vol. 8, no. 3, p. 159-165.</w:t>
      </w:r>
      <w:proofErr w:type="gramEnd"/>
    </w:p>
    <w:p w:rsidR="003804AE" w:rsidRPr="005A1F78" w:rsidRDefault="003804AE" w:rsidP="00F76DE5">
      <w:pPr>
        <w:pStyle w:val="PotLitera"/>
      </w:pPr>
      <w:r w:rsidRPr="005A1F78">
        <w:t xml:space="preserve">Makovický, P., Rimárová, K. 2011. Význam a možnosti skríningu v diagnostike celiakie. </w:t>
      </w:r>
      <w:r w:rsidRPr="005A1F78">
        <w:rPr>
          <w:i/>
        </w:rPr>
        <w:t>Vnitřní lékařství</w:t>
      </w:r>
      <w:r w:rsidRPr="005A1F78">
        <w:t xml:space="preserve">, vol. 57, no. 2, p. 183-187. </w:t>
      </w:r>
    </w:p>
    <w:p w:rsidR="003804AE" w:rsidRDefault="003804AE" w:rsidP="00861AA5">
      <w:pPr>
        <w:ind w:firstLine="142"/>
        <w:jc w:val="both"/>
        <w:rPr>
          <w:sz w:val="20"/>
          <w:szCs w:val="20"/>
        </w:rPr>
      </w:pPr>
      <w:r>
        <w:rPr>
          <w:sz w:val="20"/>
          <w:szCs w:val="20"/>
        </w:rPr>
        <w:t xml:space="preserve">Nariadenie komisie (ES) č. 41/2009 z 20. januára 2009 o zložení a označovaní potravín vhodných pre osoby trpiace neznášanlivosťou gluténu. </w:t>
      </w:r>
      <w:r w:rsidRPr="00B25B31">
        <w:rPr>
          <w:i/>
          <w:sz w:val="20"/>
          <w:szCs w:val="20"/>
        </w:rPr>
        <w:t>Úradný vestník Európskej únie</w:t>
      </w:r>
      <w:r>
        <w:rPr>
          <w:sz w:val="20"/>
          <w:szCs w:val="20"/>
        </w:rPr>
        <w:t xml:space="preserve">, L16/3-L16/5, 21.1.2009. Available on the web: </w:t>
      </w:r>
      <w:hyperlink r:id="rId14" w:history="1">
        <w:r w:rsidR="00B94597" w:rsidRPr="009F78A9">
          <w:rPr>
            <w:rStyle w:val="Hypertextovprepojenie"/>
            <w:sz w:val="20"/>
            <w:szCs w:val="20"/>
          </w:rPr>
          <w:t>http://eur-lex.europa.eu</w:t>
        </w:r>
      </w:hyperlink>
    </w:p>
    <w:p w:rsidR="003804AE" w:rsidRDefault="003804AE" w:rsidP="005C41E4">
      <w:pPr>
        <w:autoSpaceDE w:val="0"/>
        <w:autoSpaceDN w:val="0"/>
        <w:adjustRightInd w:val="0"/>
        <w:ind w:firstLine="142"/>
        <w:jc w:val="both"/>
        <w:rPr>
          <w:rFonts w:eastAsia="MS Mincho"/>
          <w:sz w:val="20"/>
          <w:szCs w:val="20"/>
        </w:rPr>
      </w:pPr>
      <w:r w:rsidRPr="00E852D3">
        <w:rPr>
          <w:rFonts w:eastAsia="MS Mincho"/>
          <w:sz w:val="20"/>
          <w:szCs w:val="20"/>
        </w:rPr>
        <w:t xml:space="preserve">Páv, I. 2006. </w:t>
      </w:r>
      <w:r>
        <w:rPr>
          <w:rFonts w:eastAsia="MS Mincho"/>
          <w:sz w:val="20"/>
          <w:szCs w:val="20"/>
        </w:rPr>
        <w:t xml:space="preserve">Celiakia v ambulantnej praxi. </w:t>
      </w:r>
      <w:r w:rsidRPr="00B650B1">
        <w:rPr>
          <w:rFonts w:eastAsia="MS Mincho"/>
          <w:i/>
          <w:sz w:val="20"/>
          <w:szCs w:val="20"/>
        </w:rPr>
        <w:t>Via practica</w:t>
      </w:r>
      <w:r>
        <w:rPr>
          <w:rFonts w:eastAsia="MS Mincho"/>
          <w:sz w:val="20"/>
          <w:szCs w:val="20"/>
        </w:rPr>
        <w:t>, vol. 3, no. 1, p. 22-24.</w:t>
      </w:r>
      <w:r w:rsidR="00B00D7F">
        <w:rPr>
          <w:rFonts w:eastAsia="MS Mincho"/>
          <w:sz w:val="20"/>
          <w:szCs w:val="20"/>
        </w:rPr>
        <w:t xml:space="preserve"> </w:t>
      </w:r>
    </w:p>
    <w:p w:rsidR="003804AE" w:rsidRPr="005A1F78" w:rsidRDefault="003804AE" w:rsidP="0083641D">
      <w:pPr>
        <w:pStyle w:val="PotLitera"/>
        <w:jc w:val="both"/>
        <w:rPr>
          <w:lang w:val="pl-PL"/>
        </w:rPr>
      </w:pPr>
      <w:r w:rsidRPr="005A1F78">
        <w:lastRenderedPageBreak/>
        <w:t xml:space="preserve">Pekárková, B., Pekárek, B., Kabátová, J. 2009. </w:t>
      </w:r>
      <w:r w:rsidRPr="005A1F78">
        <w:rPr>
          <w:lang w:val="pl-PL"/>
        </w:rPr>
        <w:t xml:space="preserve">Racionálna diagnostika a liečba celiakie. Štandardný diagnostický a terapeutický postup. </w:t>
      </w:r>
      <w:r w:rsidRPr="005A1F78">
        <w:rPr>
          <w:i/>
          <w:lang w:val="pl-PL"/>
        </w:rPr>
        <w:t>46. Metodický list racionálnej farmakoterapie</w:t>
      </w:r>
      <w:r w:rsidRPr="005A1F78">
        <w:rPr>
          <w:lang w:val="pl-PL"/>
        </w:rPr>
        <w:t xml:space="preserve">, vol. 13, no. 1-2, p. 1-7. </w:t>
      </w:r>
    </w:p>
    <w:p w:rsidR="003804AE" w:rsidRDefault="003804AE" w:rsidP="00626299">
      <w:pPr>
        <w:pStyle w:val="PotLitera"/>
        <w:jc w:val="both"/>
        <w:rPr>
          <w:color w:val="000000"/>
        </w:rPr>
      </w:pPr>
      <w:r w:rsidRPr="005A1F78">
        <w:rPr>
          <w:color w:val="000000"/>
        </w:rPr>
        <w:t xml:space="preserve">Presutti, R.J., Cangemi, J.R., Cassidy, H.D., Hill, D.A. 2007. Celiac disease. </w:t>
      </w:r>
      <w:r w:rsidRPr="005A1F78">
        <w:rPr>
          <w:i/>
          <w:color w:val="000000"/>
        </w:rPr>
        <w:t>American Family Physiscian</w:t>
      </w:r>
      <w:r w:rsidRPr="005A1F78">
        <w:rPr>
          <w:color w:val="000000"/>
        </w:rPr>
        <w:t>, vol. 76, no. 12, p. 1795-1802.</w:t>
      </w:r>
      <w:r w:rsidR="00B94597">
        <w:rPr>
          <w:color w:val="000000"/>
        </w:rPr>
        <w:t xml:space="preserve"> </w:t>
      </w:r>
      <w:r w:rsidR="00B94597">
        <w:t xml:space="preserve">Available on the web: </w:t>
      </w:r>
      <w:hyperlink r:id="rId15" w:history="1">
        <w:r w:rsidR="00B94597" w:rsidRPr="009F78A9">
          <w:rPr>
            <w:rStyle w:val="Hypertextovprepojenie"/>
          </w:rPr>
          <w:t>http://www.aafp.org/afp/2007/1215/p1795.html</w:t>
        </w:r>
      </w:hyperlink>
    </w:p>
    <w:p w:rsidR="003804AE" w:rsidRDefault="003804AE" w:rsidP="0083641D">
      <w:pPr>
        <w:pStyle w:val="PotLitera"/>
        <w:jc w:val="both"/>
        <w:rPr>
          <w:lang w:val="pl-PL"/>
        </w:rPr>
      </w:pPr>
      <w:r w:rsidRPr="005A1F78">
        <w:rPr>
          <w:lang w:val="pl-PL"/>
        </w:rPr>
        <w:t xml:space="preserve">Rimárová, K. 2005. Úvod do celiakie. </w:t>
      </w:r>
      <w:r w:rsidRPr="005A1F78">
        <w:rPr>
          <w:i/>
          <w:lang w:val="pl-PL"/>
        </w:rPr>
        <w:t>Celiakia časopis všetkých celiatikov</w:t>
      </w:r>
      <w:r w:rsidRPr="005A1F78">
        <w:rPr>
          <w:lang w:val="pl-PL"/>
        </w:rPr>
        <w:t>, 1, p. 4-5.</w:t>
      </w:r>
      <w:r w:rsidR="00B00D7F">
        <w:rPr>
          <w:lang w:val="pl-PL"/>
        </w:rPr>
        <w:t xml:space="preserve"> </w:t>
      </w:r>
    </w:p>
    <w:p w:rsidR="003804AE" w:rsidRPr="008D0941" w:rsidRDefault="003804AE" w:rsidP="005C41E4">
      <w:pPr>
        <w:pStyle w:val="PotLitera"/>
        <w:jc w:val="both"/>
        <w:rPr>
          <w:rFonts w:eastAsia="MS Mincho"/>
        </w:rPr>
      </w:pPr>
      <w:r>
        <w:t xml:space="preserve">Samaroo, D., Dickerson, F., Kasarda, D.D. et al. 2010. Novel immune response to gluten in individuals with schizophrenia. </w:t>
      </w:r>
      <w:r w:rsidRPr="005C41E4">
        <w:rPr>
          <w:i/>
        </w:rPr>
        <w:t>Schizophrenia Research</w:t>
      </w:r>
      <w:r>
        <w:t xml:space="preserve">, 118, p. 248-255. </w:t>
      </w:r>
      <w:r w:rsidRPr="003E402C">
        <w:rPr>
          <w:lang w:val="en-GB"/>
        </w:rPr>
        <w:t>Retrieved from the web</w:t>
      </w:r>
      <w:r>
        <w:rPr>
          <w:lang w:val="en-GB"/>
        </w:rPr>
        <w:t>:</w:t>
      </w:r>
      <w:r w:rsidRPr="005C41E4">
        <w:rPr>
          <w:rFonts w:eastAsia="MS Mincho"/>
          <w:color w:val="231F20"/>
        </w:rPr>
        <w:t xml:space="preserve"> doi:</w:t>
      </w:r>
      <w:r w:rsidRPr="008D0941">
        <w:rPr>
          <w:rFonts w:eastAsia="MS Mincho"/>
        </w:rPr>
        <w:t>10.1016/j.schres.2009.08.009</w:t>
      </w:r>
    </w:p>
    <w:p w:rsidR="003804AE" w:rsidRPr="005A1F78" w:rsidRDefault="003804AE" w:rsidP="00626299">
      <w:pPr>
        <w:pStyle w:val="PotLitera"/>
        <w:jc w:val="both"/>
      </w:pPr>
      <w:r w:rsidRPr="005A1F78">
        <w:rPr>
          <w:color w:val="000000"/>
        </w:rPr>
        <w:t xml:space="preserve">Schuppan, D., Junker, Y., Barisani, D. 2009. Celiac Disease: From Pathogenesis to Novel Terapies. </w:t>
      </w:r>
      <w:r w:rsidRPr="005A1F78">
        <w:rPr>
          <w:i/>
          <w:color w:val="000000"/>
        </w:rPr>
        <w:t>Gastroenterology</w:t>
      </w:r>
      <w:r w:rsidRPr="005A1F78">
        <w:rPr>
          <w:color w:val="000000"/>
        </w:rPr>
        <w:t xml:space="preserve">, vol. 137, no. 6, p. 1912-1933. </w:t>
      </w:r>
      <w:r w:rsidRPr="005A1F78">
        <w:rPr>
          <w:lang w:val="en-GB"/>
        </w:rPr>
        <w:t>Retrieved from the web:</w:t>
      </w:r>
      <w:r w:rsidRPr="005A1F78">
        <w:t xml:space="preserve"> doi:10.1053/j.gastro.2009.09.008</w:t>
      </w:r>
    </w:p>
    <w:p w:rsidR="003804AE" w:rsidRDefault="003804AE" w:rsidP="00965FFF">
      <w:pPr>
        <w:ind w:firstLine="142"/>
        <w:jc w:val="both"/>
        <w:rPr>
          <w:sz w:val="20"/>
          <w:szCs w:val="20"/>
          <w:lang w:val="en-GB"/>
        </w:rPr>
      </w:pPr>
      <w:r>
        <w:rPr>
          <w:sz w:val="20"/>
          <w:szCs w:val="20"/>
          <w:lang w:val="en-GB"/>
        </w:rPr>
        <w:t xml:space="preserve">Stachová, </w:t>
      </w:r>
      <w:smartTag w:uri="urn:schemas-microsoft-com:office:smarttags" w:element="place">
        <w:r>
          <w:rPr>
            <w:sz w:val="20"/>
            <w:szCs w:val="20"/>
            <w:lang w:val="en-GB"/>
          </w:rPr>
          <w:t>I.</w:t>
        </w:r>
      </w:smartTag>
      <w:r>
        <w:rPr>
          <w:sz w:val="20"/>
          <w:szCs w:val="20"/>
          <w:lang w:val="en-GB"/>
        </w:rPr>
        <w:t xml:space="preserve">, Bánovčin, P., Hyrdel, R. 2009. </w:t>
      </w:r>
      <w:proofErr w:type="gramStart"/>
      <w:r>
        <w:rPr>
          <w:sz w:val="20"/>
          <w:szCs w:val="20"/>
          <w:lang w:val="en-GB"/>
        </w:rPr>
        <w:t>Celiakia ako autoimunitné ochorenie tráviaceho traktu.</w:t>
      </w:r>
      <w:proofErr w:type="gramEnd"/>
      <w:r>
        <w:rPr>
          <w:sz w:val="20"/>
          <w:szCs w:val="20"/>
          <w:lang w:val="en-GB"/>
        </w:rPr>
        <w:t xml:space="preserve"> </w:t>
      </w:r>
      <w:proofErr w:type="gramStart"/>
      <w:r w:rsidRPr="00861AA5">
        <w:rPr>
          <w:i/>
          <w:sz w:val="20"/>
          <w:szCs w:val="20"/>
          <w:lang w:val="en-GB"/>
        </w:rPr>
        <w:t>Gastroentero</w:t>
      </w:r>
      <w:r>
        <w:rPr>
          <w:i/>
          <w:sz w:val="20"/>
          <w:szCs w:val="20"/>
          <w:lang w:val="en-GB"/>
        </w:rPr>
        <w:t>-</w:t>
      </w:r>
      <w:r w:rsidRPr="00861AA5">
        <w:rPr>
          <w:i/>
          <w:sz w:val="20"/>
          <w:szCs w:val="20"/>
          <w:lang w:val="en-GB"/>
        </w:rPr>
        <w:t>lógia</w:t>
      </w:r>
      <w:r>
        <w:rPr>
          <w:i/>
          <w:sz w:val="20"/>
          <w:szCs w:val="20"/>
          <w:lang w:val="en-GB"/>
        </w:rPr>
        <w:t xml:space="preserve"> </w:t>
      </w:r>
      <w:r w:rsidRPr="00861AA5">
        <w:rPr>
          <w:i/>
          <w:sz w:val="20"/>
          <w:szCs w:val="20"/>
          <w:lang w:val="en-GB"/>
        </w:rPr>
        <w:t>pre prax</w:t>
      </w:r>
      <w:r>
        <w:rPr>
          <w:sz w:val="20"/>
          <w:szCs w:val="20"/>
          <w:lang w:val="en-GB"/>
        </w:rPr>
        <w:t>, vol. 8, no. 3, p. 137-146.</w:t>
      </w:r>
      <w:proofErr w:type="gramEnd"/>
    </w:p>
    <w:p w:rsidR="00DE3367" w:rsidRPr="00DE3367" w:rsidRDefault="00DE3367" w:rsidP="00DE2D56">
      <w:pPr>
        <w:ind w:firstLine="142"/>
        <w:jc w:val="both"/>
        <w:rPr>
          <w:bCs/>
          <w:sz w:val="20"/>
          <w:szCs w:val="20"/>
        </w:rPr>
      </w:pPr>
      <w:r w:rsidRPr="00DE3367">
        <w:rPr>
          <w:sz w:val="20"/>
          <w:szCs w:val="20"/>
        </w:rPr>
        <w:t xml:space="preserve">Svačina, </w:t>
      </w:r>
      <w:r>
        <w:rPr>
          <w:sz w:val="20"/>
          <w:szCs w:val="20"/>
        </w:rPr>
        <w:t>Š</w:t>
      </w:r>
      <w:r w:rsidRPr="00DE3367">
        <w:rPr>
          <w:sz w:val="20"/>
          <w:szCs w:val="20"/>
        </w:rPr>
        <w:t xml:space="preserve">., </w:t>
      </w:r>
      <w:r>
        <w:rPr>
          <w:sz w:val="20"/>
          <w:szCs w:val="20"/>
        </w:rPr>
        <w:t>B</w:t>
      </w:r>
      <w:r w:rsidRPr="00DE3367">
        <w:rPr>
          <w:sz w:val="20"/>
          <w:szCs w:val="20"/>
        </w:rPr>
        <w:t xml:space="preserve">retšnajdrová, </w:t>
      </w:r>
      <w:r>
        <w:rPr>
          <w:sz w:val="20"/>
          <w:szCs w:val="20"/>
        </w:rPr>
        <w:t>A. 2008.</w:t>
      </w:r>
      <w:r w:rsidRPr="00DE3367">
        <w:rPr>
          <w:b/>
          <w:sz w:val="20"/>
          <w:szCs w:val="20"/>
        </w:rPr>
        <w:t xml:space="preserve"> </w:t>
      </w:r>
      <w:r w:rsidRPr="00DE3367">
        <w:rPr>
          <w:bCs/>
          <w:sz w:val="20"/>
          <w:szCs w:val="20"/>
        </w:rPr>
        <w:t xml:space="preserve">Dieta při onemocnění trávicího traktu. In: Svačina, Š. a kol.: </w:t>
      </w:r>
      <w:r w:rsidRPr="00DE3367">
        <w:rPr>
          <w:bCs/>
          <w:i/>
          <w:sz w:val="20"/>
          <w:szCs w:val="20"/>
        </w:rPr>
        <w:t>Klinická dietologie</w:t>
      </w:r>
      <w:r>
        <w:rPr>
          <w:bCs/>
          <w:sz w:val="20"/>
          <w:szCs w:val="20"/>
        </w:rPr>
        <w:t>.  1.vyd.</w:t>
      </w:r>
      <w:r w:rsidRPr="00DE3367">
        <w:rPr>
          <w:bCs/>
          <w:sz w:val="20"/>
          <w:szCs w:val="20"/>
        </w:rPr>
        <w:t xml:space="preserve"> Praha: Grada Publishing, </w:t>
      </w:r>
      <w:r>
        <w:rPr>
          <w:bCs/>
          <w:sz w:val="20"/>
          <w:szCs w:val="20"/>
        </w:rPr>
        <w:t>p</w:t>
      </w:r>
      <w:r w:rsidRPr="00DE3367">
        <w:rPr>
          <w:bCs/>
          <w:sz w:val="20"/>
          <w:szCs w:val="20"/>
        </w:rPr>
        <w:t>. 209-221. ISBN 978-80-247-2256-6.</w:t>
      </w:r>
    </w:p>
    <w:p w:rsidR="003804AE" w:rsidRPr="008D0941" w:rsidRDefault="003804AE" w:rsidP="005C41E4">
      <w:pPr>
        <w:autoSpaceDE w:val="0"/>
        <w:autoSpaceDN w:val="0"/>
        <w:adjustRightInd w:val="0"/>
        <w:ind w:firstLine="142"/>
        <w:jc w:val="both"/>
        <w:rPr>
          <w:rFonts w:eastAsia="MS Mincho"/>
          <w:sz w:val="20"/>
          <w:szCs w:val="20"/>
        </w:rPr>
      </w:pPr>
      <w:r>
        <w:rPr>
          <w:rFonts w:eastAsia="MS Mincho"/>
          <w:sz w:val="20"/>
          <w:szCs w:val="20"/>
        </w:rPr>
        <w:t xml:space="preserve">Trynka, G., Wijmenga, C., van Heel, D.A. 2010. A genetic perspective on coeliac disease. </w:t>
      </w:r>
      <w:r w:rsidRPr="00E852D3">
        <w:rPr>
          <w:rFonts w:eastAsia="MS Mincho"/>
          <w:i/>
          <w:sz w:val="20"/>
          <w:szCs w:val="20"/>
        </w:rPr>
        <w:t>Trends in Molecular Medicine</w:t>
      </w:r>
      <w:r>
        <w:rPr>
          <w:rFonts w:eastAsia="MS Mincho"/>
          <w:sz w:val="20"/>
          <w:szCs w:val="20"/>
        </w:rPr>
        <w:t xml:space="preserve">, vol. 16, no. 11, p. 537-550. </w:t>
      </w:r>
      <w:r w:rsidRPr="008D0941">
        <w:rPr>
          <w:sz w:val="20"/>
          <w:szCs w:val="20"/>
          <w:lang w:val="en-GB"/>
        </w:rPr>
        <w:t>Retrieved from the web</w:t>
      </w:r>
      <w:r>
        <w:rPr>
          <w:sz w:val="20"/>
          <w:szCs w:val="20"/>
          <w:lang w:val="en-GB"/>
        </w:rPr>
        <w:t>:</w:t>
      </w:r>
      <w:r w:rsidRPr="008D0941">
        <w:rPr>
          <w:rFonts w:eastAsia="MS Mincho"/>
          <w:sz w:val="20"/>
          <w:szCs w:val="20"/>
        </w:rPr>
        <w:t xml:space="preserve"> doi:10.1016/j.molmed.2010.09.003</w:t>
      </w:r>
    </w:p>
    <w:p w:rsidR="003804AE" w:rsidRDefault="003804AE" w:rsidP="005C41E4">
      <w:pPr>
        <w:autoSpaceDE w:val="0"/>
        <w:autoSpaceDN w:val="0"/>
        <w:adjustRightInd w:val="0"/>
        <w:ind w:firstLine="142"/>
        <w:jc w:val="both"/>
        <w:rPr>
          <w:rFonts w:eastAsia="MS Mincho"/>
          <w:sz w:val="20"/>
          <w:szCs w:val="20"/>
        </w:rPr>
      </w:pPr>
      <w:r>
        <w:rPr>
          <w:sz w:val="20"/>
          <w:szCs w:val="20"/>
        </w:rPr>
        <w:t xml:space="preserve">van Heel, D.A., Hunt, K., Greco, L., Wijmenga, C. </w:t>
      </w:r>
      <w:r w:rsidRPr="00E852D3">
        <w:rPr>
          <w:sz w:val="20"/>
          <w:szCs w:val="20"/>
        </w:rPr>
        <w:t xml:space="preserve">2005. Genetics in coeliac disease. </w:t>
      </w:r>
      <w:r w:rsidRPr="00E852D3">
        <w:rPr>
          <w:i/>
          <w:color w:val="000000"/>
          <w:sz w:val="20"/>
          <w:szCs w:val="20"/>
        </w:rPr>
        <w:t xml:space="preserve">Best Practice </w:t>
      </w:r>
      <w:r w:rsidRPr="00E852D3">
        <w:rPr>
          <w:i/>
          <w:color w:val="000000"/>
          <w:sz w:val="20"/>
          <w:szCs w:val="20"/>
          <w:lang w:val="en-US"/>
        </w:rPr>
        <w:t xml:space="preserve">&amp; </w:t>
      </w:r>
      <w:r w:rsidRPr="00E852D3">
        <w:rPr>
          <w:i/>
          <w:color w:val="000000"/>
          <w:sz w:val="20"/>
          <w:szCs w:val="20"/>
        </w:rPr>
        <w:t>Research Clinical Gastroenterology</w:t>
      </w:r>
      <w:r>
        <w:rPr>
          <w:i/>
          <w:color w:val="000000"/>
          <w:sz w:val="20"/>
          <w:szCs w:val="20"/>
        </w:rPr>
        <w:t>,</w:t>
      </w:r>
      <w:r w:rsidRPr="00E852D3">
        <w:rPr>
          <w:color w:val="000000"/>
          <w:sz w:val="20"/>
          <w:szCs w:val="20"/>
        </w:rPr>
        <w:t xml:space="preserve"> vol</w:t>
      </w:r>
      <w:r>
        <w:rPr>
          <w:color w:val="000000"/>
          <w:sz w:val="20"/>
          <w:szCs w:val="20"/>
        </w:rPr>
        <w:t>. 19, no. 3, p. 323-</w:t>
      </w:r>
      <w:r w:rsidRPr="00E852D3">
        <w:rPr>
          <w:color w:val="000000"/>
          <w:sz w:val="20"/>
          <w:szCs w:val="20"/>
        </w:rPr>
        <w:t xml:space="preserve">339. </w:t>
      </w:r>
      <w:r w:rsidRPr="008D0941">
        <w:rPr>
          <w:sz w:val="20"/>
          <w:szCs w:val="20"/>
          <w:lang w:val="en-GB"/>
        </w:rPr>
        <w:t>Retrieved from the web</w:t>
      </w:r>
      <w:r>
        <w:rPr>
          <w:sz w:val="20"/>
          <w:szCs w:val="20"/>
          <w:lang w:val="en-GB"/>
        </w:rPr>
        <w:t>:</w:t>
      </w:r>
      <w:r w:rsidRPr="008D0941">
        <w:rPr>
          <w:rFonts w:eastAsia="MS Mincho"/>
          <w:sz w:val="20"/>
          <w:szCs w:val="20"/>
        </w:rPr>
        <w:t xml:space="preserve"> </w:t>
      </w:r>
      <w:r w:rsidRPr="00E852D3">
        <w:rPr>
          <w:rFonts w:eastAsia="MS Mincho"/>
          <w:sz w:val="20"/>
          <w:szCs w:val="20"/>
        </w:rPr>
        <w:t>doi:10.1016/j.bpg.2005.01.001</w:t>
      </w:r>
    </w:p>
    <w:p w:rsidR="00DE3367" w:rsidRDefault="00DE3367" w:rsidP="00D244DB">
      <w:pPr>
        <w:pStyle w:val="zdroje1"/>
        <w:ind w:firstLine="0"/>
        <w:outlineLvl w:val="0"/>
        <w:rPr>
          <w:b/>
          <w:lang w:val="cs-CZ"/>
        </w:rPr>
      </w:pPr>
    </w:p>
    <w:p w:rsidR="0068609E" w:rsidRPr="006523A3" w:rsidRDefault="0068609E" w:rsidP="00D244DB">
      <w:pPr>
        <w:pStyle w:val="zdroje1"/>
        <w:ind w:firstLine="0"/>
        <w:outlineLvl w:val="0"/>
        <w:rPr>
          <w:b/>
          <w:lang w:val="cs-CZ"/>
        </w:rPr>
      </w:pPr>
      <w:r>
        <w:rPr>
          <w:b/>
          <w:lang w:val="cs-CZ"/>
        </w:rPr>
        <w:t>Acknowledgments</w:t>
      </w:r>
      <w:r w:rsidRPr="006523A3">
        <w:rPr>
          <w:b/>
          <w:lang w:val="cs-CZ"/>
        </w:rPr>
        <w:t>:</w:t>
      </w:r>
    </w:p>
    <w:p w:rsidR="0068609E" w:rsidRPr="00F70924" w:rsidRDefault="0068609E" w:rsidP="0068609E">
      <w:pPr>
        <w:pStyle w:val="PotText"/>
      </w:pPr>
      <w:r>
        <w:rPr>
          <w:lang w:val="sk-SK"/>
        </w:rPr>
        <w:tab/>
      </w:r>
      <w:r>
        <w:t xml:space="preserve">This work was </w:t>
      </w:r>
      <w:r w:rsidR="004C0C72">
        <w:rPr>
          <w:lang w:val="sk-SK"/>
        </w:rPr>
        <w:t>part of the project funded by the Agency of the Ministry of Education, Science, Research and Sport of The Slovak Republic for EU Structural Funds entitled „Evaluation of natural substances and their choice for the prevention and treatment of lifestyle diseases“ (ITMS 26240220040).</w:t>
      </w:r>
    </w:p>
    <w:p w:rsidR="00DE3367" w:rsidRDefault="00DE3367" w:rsidP="00D244DB">
      <w:pPr>
        <w:pStyle w:val="zdroje1"/>
        <w:ind w:firstLine="0"/>
        <w:outlineLvl w:val="0"/>
        <w:rPr>
          <w:b/>
          <w:lang w:val="cs-CZ"/>
        </w:rPr>
      </w:pPr>
    </w:p>
    <w:p w:rsidR="0068609E" w:rsidRPr="006523A3" w:rsidRDefault="0068609E" w:rsidP="00D244DB">
      <w:pPr>
        <w:pStyle w:val="zdroje1"/>
        <w:ind w:firstLine="0"/>
        <w:outlineLvl w:val="0"/>
        <w:rPr>
          <w:b/>
          <w:lang w:val="cs-CZ"/>
        </w:rPr>
      </w:pPr>
      <w:r>
        <w:rPr>
          <w:b/>
          <w:lang w:val="cs-CZ"/>
        </w:rPr>
        <w:t>Contact address</w:t>
      </w:r>
      <w:r w:rsidRPr="006523A3">
        <w:rPr>
          <w:b/>
          <w:lang w:val="cs-CZ"/>
        </w:rPr>
        <w:t>:</w:t>
      </w:r>
      <w:r>
        <w:rPr>
          <w:b/>
          <w:lang w:val="cs-CZ"/>
        </w:rPr>
        <w:t xml:space="preserve"> </w:t>
      </w:r>
    </w:p>
    <w:p w:rsidR="00F75F6F" w:rsidRDefault="0068609E" w:rsidP="005B26B7">
      <w:pPr>
        <w:pStyle w:val="PotText"/>
        <w:rPr>
          <w:rFonts w:eastAsia="MS Mincho"/>
        </w:rPr>
      </w:pPr>
      <w:r>
        <w:rPr>
          <w:lang w:val="sk-SK"/>
        </w:rPr>
        <w:tab/>
      </w:r>
      <w:r w:rsidR="005B26B7">
        <w:rPr>
          <w:lang w:val="sk-SK"/>
        </w:rPr>
        <w:t xml:space="preserve">Ing. Eva Hybenová, PhD., </w:t>
      </w:r>
      <w:r w:rsidR="005B26B7">
        <w:rPr>
          <w:rFonts w:eastAsia="MS Mincho"/>
        </w:rPr>
        <w:t>Institute of Biochemistry,</w:t>
      </w:r>
      <w:r w:rsidR="005B26B7">
        <w:rPr>
          <w:rFonts w:eastAsia="MS Mincho"/>
          <w:lang w:val="sk-SK"/>
        </w:rPr>
        <w:t xml:space="preserve"> Nutrition an</w:t>
      </w:r>
      <w:r w:rsidR="005B26B7">
        <w:rPr>
          <w:rFonts w:eastAsia="MS Mincho"/>
        </w:rPr>
        <w:t>d Health Protection, Department of Nutrition</w:t>
      </w:r>
      <w:r w:rsidR="005B26B7">
        <w:rPr>
          <w:rFonts w:eastAsia="MS Mincho"/>
          <w:lang w:val="sk-SK"/>
        </w:rPr>
        <w:t xml:space="preserve"> and </w:t>
      </w:r>
      <w:r w:rsidR="005B26B7">
        <w:rPr>
          <w:rFonts w:eastAsia="MS Mincho"/>
        </w:rPr>
        <w:t>Food Assessment, Faculty of Chemical and Food</w:t>
      </w:r>
      <w:r w:rsidR="005B26B7">
        <w:rPr>
          <w:rFonts w:eastAsia="MS Mincho"/>
          <w:lang w:val="sk-SK"/>
        </w:rPr>
        <w:t xml:space="preserve"> Technology, </w:t>
      </w:r>
      <w:r w:rsidR="005B26B7">
        <w:rPr>
          <w:rFonts w:eastAsia="MS Mincho"/>
        </w:rPr>
        <w:t>Slovak University of Technology in</w:t>
      </w:r>
      <w:r w:rsidR="005B26B7">
        <w:rPr>
          <w:rFonts w:eastAsia="MS Mincho"/>
          <w:lang w:val="sk-SK"/>
        </w:rPr>
        <w:t xml:space="preserve"> Bratislava, </w:t>
      </w:r>
      <w:r w:rsidR="005B26B7">
        <w:rPr>
          <w:rFonts w:eastAsia="MS Mincho"/>
        </w:rPr>
        <w:t>Radlinského 9, 812 37 Bratislava, Slovakia,</w:t>
      </w:r>
      <w:r w:rsidR="005B26B7">
        <w:rPr>
          <w:rFonts w:eastAsia="MS Mincho"/>
          <w:lang w:val="sk-SK"/>
        </w:rPr>
        <w:t xml:space="preserve"> </w:t>
      </w:r>
      <w:r w:rsidR="005B26B7">
        <w:rPr>
          <w:rFonts w:eastAsia="MS Mincho"/>
        </w:rPr>
        <w:t>02/59325</w:t>
      </w:r>
      <w:r w:rsidR="005B26B7">
        <w:rPr>
          <w:rFonts w:eastAsia="MS Mincho"/>
          <w:lang w:val="sk-SK"/>
        </w:rPr>
        <w:t>436,</w:t>
      </w:r>
      <w:r w:rsidR="005B26B7">
        <w:rPr>
          <w:rFonts w:eastAsia="MS Mincho"/>
        </w:rPr>
        <w:t xml:space="preserve"> E-mail: </w:t>
      </w:r>
      <w:hyperlink r:id="rId16" w:history="1">
        <w:r w:rsidR="00A15955" w:rsidRPr="00095BBE">
          <w:rPr>
            <w:rStyle w:val="Hypertextovprepojenie"/>
            <w:rFonts w:eastAsia="MS Mincho"/>
          </w:rPr>
          <w:t>eva.hybenova@stuba.sk</w:t>
        </w:r>
      </w:hyperlink>
    </w:p>
    <w:p w:rsidR="005B26B7" w:rsidRDefault="005B26B7" w:rsidP="005B26B7">
      <w:pPr>
        <w:pStyle w:val="PotText"/>
        <w:rPr>
          <w:rFonts w:eastAsia="MS Mincho"/>
          <w:lang w:val="sk-SK"/>
        </w:rPr>
      </w:pPr>
      <w:r>
        <w:rPr>
          <w:lang w:val="sk-SK"/>
        </w:rPr>
        <w:tab/>
        <w:t xml:space="preserve">Ing. Júlia Štofirová, </w:t>
      </w:r>
      <w:r>
        <w:rPr>
          <w:rFonts w:eastAsia="MS Mincho"/>
        </w:rPr>
        <w:t>Institute of Biochemistry,</w:t>
      </w:r>
      <w:r>
        <w:rPr>
          <w:rFonts w:eastAsia="MS Mincho"/>
          <w:lang w:val="sk-SK"/>
        </w:rPr>
        <w:t xml:space="preserve"> Nutrition an</w:t>
      </w:r>
      <w:r>
        <w:rPr>
          <w:rFonts w:eastAsia="MS Mincho"/>
        </w:rPr>
        <w:t>d Health Protection, Department of Nutrition</w:t>
      </w:r>
      <w:r>
        <w:rPr>
          <w:rFonts w:eastAsia="MS Mincho"/>
          <w:lang w:val="sk-SK"/>
        </w:rPr>
        <w:t xml:space="preserve"> and </w:t>
      </w:r>
      <w:r>
        <w:rPr>
          <w:rFonts w:eastAsia="MS Mincho"/>
        </w:rPr>
        <w:t>Food Assessment, Faculty of Chemical and Food</w:t>
      </w:r>
      <w:r>
        <w:rPr>
          <w:rFonts w:eastAsia="MS Mincho"/>
          <w:lang w:val="sk-SK"/>
        </w:rPr>
        <w:t xml:space="preserve"> Technology, </w:t>
      </w:r>
      <w:r>
        <w:rPr>
          <w:rFonts w:eastAsia="MS Mincho"/>
        </w:rPr>
        <w:t>Slovak University of Technology in</w:t>
      </w:r>
      <w:r>
        <w:rPr>
          <w:rFonts w:eastAsia="MS Mincho"/>
          <w:lang w:val="sk-SK"/>
        </w:rPr>
        <w:t xml:space="preserve"> Bratislava, </w:t>
      </w:r>
      <w:r>
        <w:rPr>
          <w:rFonts w:eastAsia="MS Mincho"/>
        </w:rPr>
        <w:t>Radlinského 9, 812 37 Bratislava, Slovakia,</w:t>
      </w:r>
      <w:r>
        <w:rPr>
          <w:rFonts w:eastAsia="MS Mincho"/>
          <w:lang w:val="sk-SK"/>
        </w:rPr>
        <w:t xml:space="preserve"> </w:t>
      </w:r>
      <w:r>
        <w:rPr>
          <w:rFonts w:eastAsia="MS Mincho"/>
        </w:rPr>
        <w:t>02/59325</w:t>
      </w:r>
      <w:r>
        <w:rPr>
          <w:rFonts w:eastAsia="MS Mincho"/>
          <w:lang w:val="sk-SK"/>
        </w:rPr>
        <w:t>436,</w:t>
      </w:r>
      <w:r>
        <w:rPr>
          <w:rFonts w:eastAsia="MS Mincho"/>
        </w:rPr>
        <w:t xml:space="preserve"> E-mail:</w:t>
      </w:r>
      <w:r>
        <w:rPr>
          <w:rFonts w:eastAsia="MS Mincho"/>
          <w:lang w:val="sk-SK"/>
        </w:rPr>
        <w:t xml:space="preserve"> </w:t>
      </w:r>
      <w:hyperlink r:id="rId17" w:history="1">
        <w:r w:rsidR="00F75F6F" w:rsidRPr="00095BBE">
          <w:rPr>
            <w:rStyle w:val="Hypertextovprepojenie"/>
            <w:rFonts w:eastAsia="MS Mincho"/>
          </w:rPr>
          <w:t>xstofirova@stuba.sk</w:t>
        </w:r>
      </w:hyperlink>
    </w:p>
    <w:p w:rsidR="005A493F" w:rsidRDefault="005B26B7" w:rsidP="00602333">
      <w:pPr>
        <w:pStyle w:val="PotText"/>
        <w:rPr>
          <w:lang w:val="sk-SK"/>
        </w:rPr>
      </w:pPr>
      <w:r>
        <w:rPr>
          <w:rFonts w:eastAsia="MS Mincho"/>
          <w:lang w:val="sk-SK"/>
        </w:rPr>
        <w:tab/>
        <w:t xml:space="preserve">Ing. Anna Mikulajová, PhD., </w:t>
      </w:r>
      <w:r>
        <w:rPr>
          <w:rFonts w:eastAsia="MS Mincho"/>
        </w:rPr>
        <w:t>Institute of Biochemistry,</w:t>
      </w:r>
      <w:r>
        <w:rPr>
          <w:rFonts w:eastAsia="MS Mincho"/>
          <w:lang w:val="sk-SK"/>
        </w:rPr>
        <w:t xml:space="preserve"> Nutrition an</w:t>
      </w:r>
      <w:r>
        <w:rPr>
          <w:rFonts w:eastAsia="MS Mincho"/>
        </w:rPr>
        <w:t>d Health Protection, Department of Nutrition</w:t>
      </w:r>
      <w:r>
        <w:rPr>
          <w:rFonts w:eastAsia="MS Mincho"/>
          <w:lang w:val="sk-SK"/>
        </w:rPr>
        <w:t xml:space="preserve"> and </w:t>
      </w:r>
      <w:r>
        <w:rPr>
          <w:rFonts w:eastAsia="MS Mincho"/>
        </w:rPr>
        <w:t>Food Assessment, Faculty of Chemical and Food</w:t>
      </w:r>
      <w:r>
        <w:rPr>
          <w:rFonts w:eastAsia="MS Mincho"/>
          <w:lang w:val="sk-SK"/>
        </w:rPr>
        <w:t xml:space="preserve"> Technology, </w:t>
      </w:r>
      <w:r>
        <w:rPr>
          <w:rFonts w:eastAsia="MS Mincho"/>
        </w:rPr>
        <w:t>Slovak University of Technology in</w:t>
      </w:r>
      <w:r>
        <w:rPr>
          <w:rFonts w:eastAsia="MS Mincho"/>
          <w:lang w:val="sk-SK"/>
        </w:rPr>
        <w:t xml:space="preserve"> Bratislava, </w:t>
      </w:r>
      <w:r>
        <w:rPr>
          <w:rFonts w:eastAsia="MS Mincho"/>
        </w:rPr>
        <w:t>Radlinského 9, 812 37 Bratislava, Slovakia,</w:t>
      </w:r>
      <w:r>
        <w:rPr>
          <w:rFonts w:eastAsia="MS Mincho"/>
          <w:lang w:val="sk-SK"/>
        </w:rPr>
        <w:t xml:space="preserve"> </w:t>
      </w:r>
      <w:r>
        <w:rPr>
          <w:rFonts w:eastAsia="MS Mincho"/>
        </w:rPr>
        <w:t>02/59325</w:t>
      </w:r>
      <w:r>
        <w:rPr>
          <w:rFonts w:eastAsia="MS Mincho"/>
          <w:lang w:val="sk-SK"/>
        </w:rPr>
        <w:t>512,</w:t>
      </w:r>
      <w:r>
        <w:rPr>
          <w:rFonts w:eastAsia="MS Mincho"/>
        </w:rPr>
        <w:t xml:space="preserve"> E-mail:</w:t>
      </w:r>
      <w:r>
        <w:rPr>
          <w:lang w:val="sk-SK"/>
        </w:rPr>
        <w:t xml:space="preserve"> </w:t>
      </w:r>
      <w:hyperlink r:id="rId18" w:history="1">
        <w:r w:rsidR="00617721" w:rsidRPr="00095BBE">
          <w:rPr>
            <w:rStyle w:val="Hypertextovprepojenie"/>
          </w:rPr>
          <w:t>anna.mikulajova@stuba.sk</w:t>
        </w:r>
      </w:hyperlink>
    </w:p>
    <w:sectPr w:rsidR="005A493F" w:rsidSect="00A1230C">
      <w:headerReference w:type="even" r:id="rId19"/>
      <w:type w:val="continuous"/>
      <w:pgSz w:w="11906" w:h="16838"/>
      <w:pgMar w:top="1134" w:right="992" w:bottom="1134" w:left="992" w:header="709" w:footer="709"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351" w:rsidRDefault="00974351" w:rsidP="00A1230C">
      <w:r>
        <w:separator/>
      </w:r>
    </w:p>
  </w:endnote>
  <w:endnote w:type="continuationSeparator" w:id="0">
    <w:p w:rsidR="00974351" w:rsidRDefault="00974351" w:rsidP="00A1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NimbusSanLEE-BoldCond">
    <w:charset w:val="EE"/>
    <w:family w:val="auto"/>
    <w:pitch w:val="default"/>
  </w:font>
  <w:font w:name="NimbusSanLEE-ReguCond">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A1" w:rsidRPr="00A1230C" w:rsidRDefault="003804AE" w:rsidP="00A1230C">
    <w:pPr>
      <w:pStyle w:val="Pta"/>
      <w:tabs>
        <w:tab w:val="clear" w:pos="4536"/>
        <w:tab w:val="clear" w:pos="9072"/>
        <w:tab w:val="center" w:pos="4962"/>
        <w:tab w:val="right" w:pos="9923"/>
      </w:tabs>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-7620</wp:posOffset>
              </wp:positionH>
              <wp:positionV relativeFrom="paragraph">
                <wp:posOffset>-49531</wp:posOffset>
              </wp:positionV>
              <wp:extent cx="6358255" cy="0"/>
              <wp:effectExtent l="0" t="19050" r="4445" b="1905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ovná spojovacia šípka 2" o:spid="_x0000_s1026" type="#_x0000_t32" style="position:absolute;margin-left:-.6pt;margin-top:-3.9pt;width:500.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" strokeweight="2.5pt"/>
          </w:pict>
        </mc:Fallback>
      </mc:AlternateContent>
    </w:r>
    <w:r w:rsidR="005D0FA1">
      <w:t>Volume 7</w:t>
    </w:r>
    <w:r w:rsidR="005D0FA1" w:rsidRPr="00A1230C">
      <w:tab/>
    </w:r>
    <w:r w:rsidR="005D0FA1" w:rsidRPr="00A1230C">
      <w:fldChar w:fldCharType="begin"/>
    </w:r>
    <w:r w:rsidR="005D0FA1" w:rsidRPr="00A1230C">
      <w:instrText xml:space="preserve"> PAGE   \* MERGEFORMAT </w:instrText>
    </w:r>
    <w:r w:rsidR="005D0FA1" w:rsidRPr="00A1230C">
      <w:fldChar w:fldCharType="separate"/>
    </w:r>
    <w:r w:rsidR="00B9262D">
      <w:rPr>
        <w:noProof/>
      </w:rPr>
      <w:t>1</w:t>
    </w:r>
    <w:r w:rsidR="005D0FA1" w:rsidRPr="00A1230C">
      <w:fldChar w:fldCharType="end"/>
    </w:r>
    <w:r w:rsidR="005D0FA1">
      <w:tab/>
      <w:t xml:space="preserve"> No. 1</w:t>
    </w:r>
    <w:r w:rsidR="005D0FA1" w:rsidRPr="00A1230C">
      <w:t>/201</w:t>
    </w:r>
    <w:r w:rsidR="005D0FA1">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351" w:rsidRDefault="00974351" w:rsidP="00A1230C">
      <w:r>
        <w:separator/>
      </w:r>
    </w:p>
  </w:footnote>
  <w:footnote w:type="continuationSeparator" w:id="0">
    <w:p w:rsidR="00974351" w:rsidRDefault="00974351" w:rsidP="00A12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A1" w:rsidRPr="00A1230C" w:rsidRDefault="003804AE" w:rsidP="00A1230C">
    <w:pPr>
      <w:pStyle w:val="Hlavika"/>
      <w:ind w:right="360"/>
      <w:jc w:val="center"/>
      <w:rPr>
        <w:rFonts w:ascii="Arial Black" w:hAnsi="Arial Black"/>
      </w:rPr>
    </w:pPr>
    <w:r>
      <w:rPr>
        <w:noProof/>
      </w:rPr>
      <mc:AlternateContent>
        <mc:Choice Requires="wps">
          <w:drawing>
            <wp:anchor distT="4294967295" distB="4294967295" distL="114300" distR="114300" simplePos="0" relativeHeight="251657216" behindDoc="0" locked="0" layoutInCell="1" allowOverlap="1">
              <wp:simplePos x="0" y="0"/>
              <wp:positionH relativeFrom="margin">
                <wp:posOffset>16510</wp:posOffset>
              </wp:positionH>
              <wp:positionV relativeFrom="page">
                <wp:posOffset>671194</wp:posOffset>
              </wp:positionV>
              <wp:extent cx="6358255" cy="0"/>
              <wp:effectExtent l="0" t="19050" r="4445" b="1905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ovná spojovacia šípka 1" o:spid="_x0000_s1026" type="#_x0000_t32" style="position:absolute;margin-left:1.3pt;margin-top:52.85pt;width:500.65pt;height:0;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" strokeweight="2.5pt">
              <w10:wrap anchorx="margin" anchory="page"/>
            </v:shape>
          </w:pict>
        </mc:Fallback>
      </mc:AlternateContent>
    </w:r>
    <w:r w:rsidR="005D0FA1">
      <w:rPr>
        <w:rFonts w:ascii="Arial Black" w:hAnsi="Arial Black"/>
      </w:rPr>
      <w:t>p</w:t>
    </w:r>
    <w:r w:rsidR="005D0FA1" w:rsidRPr="00DF7CE3">
      <w:rPr>
        <w:rFonts w:ascii="Arial Black" w:hAnsi="Arial Black"/>
      </w:rPr>
      <w:t>otravin</w:t>
    </w:r>
    <w:r w:rsidR="005D0FA1">
      <w:rPr>
        <w:rFonts w:ascii="Arial Black" w:hAnsi="Arial Black"/>
      </w:rPr>
      <w:t>á</w:t>
    </w:r>
    <w:r w:rsidR="005D0FA1" w:rsidRPr="00DF7CE3">
      <w:rPr>
        <w:rFonts w:ascii="Arial Black" w:hAnsi="Arial Black"/>
      </w:rPr>
      <w:t>rstvo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FA1" w:rsidRDefault="005D0FA1" w:rsidP="00AC2CEB">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51</w:t>
    </w:r>
    <w:r>
      <w:rPr>
        <w:rStyle w:val="slostrany"/>
      </w:rPr>
      <w:fldChar w:fldCharType="end"/>
    </w:r>
  </w:p>
  <w:p w:rsidR="005D0FA1" w:rsidRDefault="005D0FA1" w:rsidP="00AC2CEB">
    <w:pPr>
      <w:pStyle w:val="Hlavik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B66D50"/>
    <w:lvl w:ilvl="0">
      <w:start w:val="1"/>
      <w:numFmt w:val="decimal"/>
      <w:lvlText w:val="%1."/>
      <w:lvlJc w:val="left"/>
      <w:pPr>
        <w:tabs>
          <w:tab w:val="num" w:pos="1492"/>
        </w:tabs>
        <w:ind w:left="1492" w:hanging="360"/>
      </w:pPr>
    </w:lvl>
  </w:abstractNum>
  <w:abstractNum w:abstractNumId="1">
    <w:nsid w:val="FFFFFF7D"/>
    <w:multiLevelType w:val="singleLevel"/>
    <w:tmpl w:val="93E8AB9C"/>
    <w:lvl w:ilvl="0">
      <w:start w:val="1"/>
      <w:numFmt w:val="decimal"/>
      <w:lvlText w:val="%1."/>
      <w:lvlJc w:val="left"/>
      <w:pPr>
        <w:tabs>
          <w:tab w:val="num" w:pos="1209"/>
        </w:tabs>
        <w:ind w:left="1209" w:hanging="360"/>
      </w:pPr>
    </w:lvl>
  </w:abstractNum>
  <w:abstractNum w:abstractNumId="2">
    <w:nsid w:val="FFFFFF7E"/>
    <w:multiLevelType w:val="singleLevel"/>
    <w:tmpl w:val="1A9ACF7E"/>
    <w:lvl w:ilvl="0">
      <w:start w:val="1"/>
      <w:numFmt w:val="decimal"/>
      <w:lvlText w:val="%1."/>
      <w:lvlJc w:val="left"/>
      <w:pPr>
        <w:tabs>
          <w:tab w:val="num" w:pos="926"/>
        </w:tabs>
        <w:ind w:left="926" w:hanging="360"/>
      </w:pPr>
    </w:lvl>
  </w:abstractNum>
  <w:abstractNum w:abstractNumId="3">
    <w:nsid w:val="FFFFFF7F"/>
    <w:multiLevelType w:val="singleLevel"/>
    <w:tmpl w:val="FEB4ED94"/>
    <w:lvl w:ilvl="0">
      <w:start w:val="1"/>
      <w:numFmt w:val="decimal"/>
      <w:lvlText w:val="%1."/>
      <w:lvlJc w:val="left"/>
      <w:pPr>
        <w:tabs>
          <w:tab w:val="num" w:pos="643"/>
        </w:tabs>
        <w:ind w:left="643" w:hanging="360"/>
      </w:pPr>
    </w:lvl>
  </w:abstractNum>
  <w:abstractNum w:abstractNumId="4">
    <w:nsid w:val="FFFFFF80"/>
    <w:multiLevelType w:val="singleLevel"/>
    <w:tmpl w:val="237EDB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CA02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BE3E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A0D7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0A600E"/>
    <w:lvl w:ilvl="0">
      <w:start w:val="1"/>
      <w:numFmt w:val="decimal"/>
      <w:lvlText w:val="%1."/>
      <w:lvlJc w:val="left"/>
      <w:pPr>
        <w:tabs>
          <w:tab w:val="num" w:pos="360"/>
        </w:tabs>
        <w:ind w:left="360" w:hanging="360"/>
      </w:pPr>
    </w:lvl>
  </w:abstractNum>
  <w:abstractNum w:abstractNumId="9">
    <w:nsid w:val="FFFFFF89"/>
    <w:multiLevelType w:val="singleLevel"/>
    <w:tmpl w:val="6C64DAD8"/>
    <w:lvl w:ilvl="0">
      <w:start w:val="1"/>
      <w:numFmt w:val="bullet"/>
      <w:lvlText w:val=""/>
      <w:lvlJc w:val="left"/>
      <w:pPr>
        <w:tabs>
          <w:tab w:val="num" w:pos="360"/>
        </w:tabs>
        <w:ind w:left="360" w:hanging="360"/>
      </w:pPr>
      <w:rPr>
        <w:rFonts w:ascii="Symbol" w:hAnsi="Symbol" w:hint="default"/>
      </w:rPr>
    </w:lvl>
  </w:abstractNum>
  <w:abstractNum w:abstractNumId="10">
    <w:nsid w:val="076F6B18"/>
    <w:multiLevelType w:val="hybridMultilevel"/>
    <w:tmpl w:val="19C276B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154360ED"/>
    <w:multiLevelType w:val="hybridMultilevel"/>
    <w:tmpl w:val="4722392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nsid w:val="211C78C5"/>
    <w:multiLevelType w:val="hybridMultilevel"/>
    <w:tmpl w:val="43EE665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2AEC51DB"/>
    <w:multiLevelType w:val="hybridMultilevel"/>
    <w:tmpl w:val="1E727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6433B2D"/>
    <w:multiLevelType w:val="hybridMultilevel"/>
    <w:tmpl w:val="F938939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5B6A4C86"/>
    <w:multiLevelType w:val="hybridMultilevel"/>
    <w:tmpl w:val="0F3E3F6E"/>
    <w:lvl w:ilvl="0" w:tplc="041B000F">
      <w:start w:val="1"/>
      <w:numFmt w:val="decimal"/>
      <w:lvlText w:val="%1."/>
      <w:lvlJc w:val="left"/>
      <w:pPr>
        <w:tabs>
          <w:tab w:val="num" w:pos="720"/>
        </w:tabs>
        <w:ind w:left="720" w:hanging="360"/>
      </w:pPr>
      <w:rPr>
        <w:rFonts w:hint="default"/>
      </w:rPr>
    </w:lvl>
    <w:lvl w:ilvl="1" w:tplc="CB0C432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6D66388C"/>
    <w:multiLevelType w:val="hybridMultilevel"/>
    <w:tmpl w:val="F938939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739D100F"/>
    <w:multiLevelType w:val="hybridMultilevel"/>
    <w:tmpl w:val="0F3E3F6E"/>
    <w:lvl w:ilvl="0" w:tplc="041B000F">
      <w:start w:val="1"/>
      <w:numFmt w:val="decimal"/>
      <w:lvlText w:val="%1."/>
      <w:lvlJc w:val="left"/>
      <w:pPr>
        <w:tabs>
          <w:tab w:val="num" w:pos="720"/>
        </w:tabs>
        <w:ind w:left="720" w:hanging="360"/>
      </w:pPr>
      <w:rPr>
        <w:rFonts w:hint="default"/>
      </w:rPr>
    </w:lvl>
    <w:lvl w:ilvl="1" w:tplc="CB0C432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74E2647F"/>
    <w:multiLevelType w:val="hybridMultilevel"/>
    <w:tmpl w:val="43EE665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10"/>
  </w:num>
  <w:num w:numId="6">
    <w:abstractNumId w:val="18"/>
  </w:num>
  <w:num w:numId="7">
    <w:abstractNumId w:val="15"/>
  </w:num>
  <w:num w:numId="8">
    <w:abstractNumId w:val="16"/>
  </w:num>
  <w:num w:numId="9">
    <w:abstractNumId w:val="12"/>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0C"/>
    <w:rsid w:val="00004CA7"/>
    <w:rsid w:val="00010564"/>
    <w:rsid w:val="00023F2F"/>
    <w:rsid w:val="000264CC"/>
    <w:rsid w:val="000356D3"/>
    <w:rsid w:val="0003612F"/>
    <w:rsid w:val="00037476"/>
    <w:rsid w:val="0005206D"/>
    <w:rsid w:val="00060CCC"/>
    <w:rsid w:val="00073E40"/>
    <w:rsid w:val="00086B46"/>
    <w:rsid w:val="00094F1C"/>
    <w:rsid w:val="00095377"/>
    <w:rsid w:val="000A3865"/>
    <w:rsid w:val="000C0D49"/>
    <w:rsid w:val="000D286C"/>
    <w:rsid w:val="000D3A4D"/>
    <w:rsid w:val="00111A6B"/>
    <w:rsid w:val="00115D50"/>
    <w:rsid w:val="0012644B"/>
    <w:rsid w:val="00144D86"/>
    <w:rsid w:val="00153DEF"/>
    <w:rsid w:val="0015617A"/>
    <w:rsid w:val="00160229"/>
    <w:rsid w:val="0016315B"/>
    <w:rsid w:val="00171C3B"/>
    <w:rsid w:val="00181609"/>
    <w:rsid w:val="0019637E"/>
    <w:rsid w:val="00197FF2"/>
    <w:rsid w:val="001B1726"/>
    <w:rsid w:val="001B5800"/>
    <w:rsid w:val="001C67F0"/>
    <w:rsid w:val="001E52DA"/>
    <w:rsid w:val="001F089E"/>
    <w:rsid w:val="001F4D87"/>
    <w:rsid w:val="002045A6"/>
    <w:rsid w:val="00205883"/>
    <w:rsid w:val="00211C4D"/>
    <w:rsid w:val="002158E6"/>
    <w:rsid w:val="00227E69"/>
    <w:rsid w:val="00227F28"/>
    <w:rsid w:val="0023288C"/>
    <w:rsid w:val="002416EB"/>
    <w:rsid w:val="0024470C"/>
    <w:rsid w:val="00250574"/>
    <w:rsid w:val="002521F2"/>
    <w:rsid w:val="00253736"/>
    <w:rsid w:val="0025646E"/>
    <w:rsid w:val="00266DAC"/>
    <w:rsid w:val="0027347C"/>
    <w:rsid w:val="002740FB"/>
    <w:rsid w:val="00275C25"/>
    <w:rsid w:val="00284B2E"/>
    <w:rsid w:val="0029212E"/>
    <w:rsid w:val="002B0F13"/>
    <w:rsid w:val="002B77BE"/>
    <w:rsid w:val="002C18E2"/>
    <w:rsid w:val="002D2562"/>
    <w:rsid w:val="002D2D46"/>
    <w:rsid w:val="002D6C6C"/>
    <w:rsid w:val="00301262"/>
    <w:rsid w:val="00301EF2"/>
    <w:rsid w:val="00337C46"/>
    <w:rsid w:val="00344995"/>
    <w:rsid w:val="00346EB8"/>
    <w:rsid w:val="00360979"/>
    <w:rsid w:val="0036322F"/>
    <w:rsid w:val="0036462A"/>
    <w:rsid w:val="0037580B"/>
    <w:rsid w:val="003804AE"/>
    <w:rsid w:val="0038074E"/>
    <w:rsid w:val="003928CF"/>
    <w:rsid w:val="003C4AC0"/>
    <w:rsid w:val="003E402C"/>
    <w:rsid w:val="003E53E6"/>
    <w:rsid w:val="003F6B00"/>
    <w:rsid w:val="003F77C7"/>
    <w:rsid w:val="0040281E"/>
    <w:rsid w:val="004167FC"/>
    <w:rsid w:val="00417834"/>
    <w:rsid w:val="004249A7"/>
    <w:rsid w:val="00436938"/>
    <w:rsid w:val="004628C0"/>
    <w:rsid w:val="00473471"/>
    <w:rsid w:val="004776F8"/>
    <w:rsid w:val="00480261"/>
    <w:rsid w:val="00483905"/>
    <w:rsid w:val="004844D6"/>
    <w:rsid w:val="004A3973"/>
    <w:rsid w:val="004A5D6C"/>
    <w:rsid w:val="004A706E"/>
    <w:rsid w:val="004A7AB0"/>
    <w:rsid w:val="004B4B7D"/>
    <w:rsid w:val="004C0C72"/>
    <w:rsid w:val="004E6B54"/>
    <w:rsid w:val="00516B39"/>
    <w:rsid w:val="00521DEA"/>
    <w:rsid w:val="0052267A"/>
    <w:rsid w:val="00527F0B"/>
    <w:rsid w:val="005540AD"/>
    <w:rsid w:val="00563446"/>
    <w:rsid w:val="005746B1"/>
    <w:rsid w:val="00581254"/>
    <w:rsid w:val="00597503"/>
    <w:rsid w:val="005A1F78"/>
    <w:rsid w:val="005A493F"/>
    <w:rsid w:val="005A5D18"/>
    <w:rsid w:val="005A6C6B"/>
    <w:rsid w:val="005B1E0C"/>
    <w:rsid w:val="005B26B7"/>
    <w:rsid w:val="005B4F92"/>
    <w:rsid w:val="005C41E4"/>
    <w:rsid w:val="005C7F09"/>
    <w:rsid w:val="005D0FA1"/>
    <w:rsid w:val="005D10A5"/>
    <w:rsid w:val="005D37AE"/>
    <w:rsid w:val="005E5640"/>
    <w:rsid w:val="005E73A6"/>
    <w:rsid w:val="0060154D"/>
    <w:rsid w:val="00602333"/>
    <w:rsid w:val="00604F7B"/>
    <w:rsid w:val="00612909"/>
    <w:rsid w:val="00617721"/>
    <w:rsid w:val="00626299"/>
    <w:rsid w:val="00635E90"/>
    <w:rsid w:val="006536DF"/>
    <w:rsid w:val="0067194D"/>
    <w:rsid w:val="006753B5"/>
    <w:rsid w:val="00682E84"/>
    <w:rsid w:val="00683EE3"/>
    <w:rsid w:val="0068609E"/>
    <w:rsid w:val="006B6DD8"/>
    <w:rsid w:val="006C1B95"/>
    <w:rsid w:val="006C3E7E"/>
    <w:rsid w:val="006C62E0"/>
    <w:rsid w:val="006D5890"/>
    <w:rsid w:val="006D698E"/>
    <w:rsid w:val="006E05BE"/>
    <w:rsid w:val="006E6481"/>
    <w:rsid w:val="006F2D67"/>
    <w:rsid w:val="006F37B0"/>
    <w:rsid w:val="006F4417"/>
    <w:rsid w:val="006F7070"/>
    <w:rsid w:val="007008F7"/>
    <w:rsid w:val="00703C38"/>
    <w:rsid w:val="00710C3D"/>
    <w:rsid w:val="00711B09"/>
    <w:rsid w:val="00712740"/>
    <w:rsid w:val="00716220"/>
    <w:rsid w:val="00721A95"/>
    <w:rsid w:val="007263AE"/>
    <w:rsid w:val="0076030A"/>
    <w:rsid w:val="00771E06"/>
    <w:rsid w:val="00784308"/>
    <w:rsid w:val="007857BD"/>
    <w:rsid w:val="007863F4"/>
    <w:rsid w:val="007929AC"/>
    <w:rsid w:val="00795C06"/>
    <w:rsid w:val="007B3B1A"/>
    <w:rsid w:val="007E2EA5"/>
    <w:rsid w:val="0080238C"/>
    <w:rsid w:val="00803AC2"/>
    <w:rsid w:val="0080572B"/>
    <w:rsid w:val="00813831"/>
    <w:rsid w:val="00831C87"/>
    <w:rsid w:val="00832289"/>
    <w:rsid w:val="0083641D"/>
    <w:rsid w:val="00840E20"/>
    <w:rsid w:val="00846D51"/>
    <w:rsid w:val="00861AA5"/>
    <w:rsid w:val="00873FA7"/>
    <w:rsid w:val="008826A0"/>
    <w:rsid w:val="00884FDD"/>
    <w:rsid w:val="008B4931"/>
    <w:rsid w:val="008D0941"/>
    <w:rsid w:val="008D78B1"/>
    <w:rsid w:val="008D7965"/>
    <w:rsid w:val="008E266D"/>
    <w:rsid w:val="008E5574"/>
    <w:rsid w:val="008E61C4"/>
    <w:rsid w:val="008E66AB"/>
    <w:rsid w:val="008E7D14"/>
    <w:rsid w:val="008F3F8D"/>
    <w:rsid w:val="008F456C"/>
    <w:rsid w:val="008F56B6"/>
    <w:rsid w:val="00930744"/>
    <w:rsid w:val="00936E44"/>
    <w:rsid w:val="009527C2"/>
    <w:rsid w:val="00955B11"/>
    <w:rsid w:val="00956089"/>
    <w:rsid w:val="00965FFF"/>
    <w:rsid w:val="00974351"/>
    <w:rsid w:val="009779BC"/>
    <w:rsid w:val="00987B68"/>
    <w:rsid w:val="00991EEC"/>
    <w:rsid w:val="00992F24"/>
    <w:rsid w:val="009B5286"/>
    <w:rsid w:val="009B52CF"/>
    <w:rsid w:val="009B5BCB"/>
    <w:rsid w:val="009D168C"/>
    <w:rsid w:val="009D7BC4"/>
    <w:rsid w:val="009F070A"/>
    <w:rsid w:val="00A00881"/>
    <w:rsid w:val="00A02484"/>
    <w:rsid w:val="00A1219E"/>
    <w:rsid w:val="00A1230C"/>
    <w:rsid w:val="00A15955"/>
    <w:rsid w:val="00A32EE7"/>
    <w:rsid w:val="00A359EF"/>
    <w:rsid w:val="00A44BF3"/>
    <w:rsid w:val="00A50670"/>
    <w:rsid w:val="00A5220A"/>
    <w:rsid w:val="00A82AE4"/>
    <w:rsid w:val="00A91E08"/>
    <w:rsid w:val="00AC2CEB"/>
    <w:rsid w:val="00AD3971"/>
    <w:rsid w:val="00AE3E29"/>
    <w:rsid w:val="00AF3296"/>
    <w:rsid w:val="00B00D7F"/>
    <w:rsid w:val="00B12469"/>
    <w:rsid w:val="00B1341A"/>
    <w:rsid w:val="00B1497E"/>
    <w:rsid w:val="00B16C9A"/>
    <w:rsid w:val="00B25B31"/>
    <w:rsid w:val="00B4348F"/>
    <w:rsid w:val="00B53E32"/>
    <w:rsid w:val="00B650B1"/>
    <w:rsid w:val="00B8170D"/>
    <w:rsid w:val="00B8433A"/>
    <w:rsid w:val="00B9262D"/>
    <w:rsid w:val="00B94597"/>
    <w:rsid w:val="00BB3C57"/>
    <w:rsid w:val="00BC6181"/>
    <w:rsid w:val="00BC7363"/>
    <w:rsid w:val="00BE6734"/>
    <w:rsid w:val="00C014AB"/>
    <w:rsid w:val="00C045E4"/>
    <w:rsid w:val="00C22341"/>
    <w:rsid w:val="00C25668"/>
    <w:rsid w:val="00C32807"/>
    <w:rsid w:val="00C32E93"/>
    <w:rsid w:val="00C45E93"/>
    <w:rsid w:val="00C552D0"/>
    <w:rsid w:val="00C729ED"/>
    <w:rsid w:val="00C803F0"/>
    <w:rsid w:val="00CA3991"/>
    <w:rsid w:val="00CB138F"/>
    <w:rsid w:val="00CB4306"/>
    <w:rsid w:val="00CD61C6"/>
    <w:rsid w:val="00CE5231"/>
    <w:rsid w:val="00CF4401"/>
    <w:rsid w:val="00D03DC5"/>
    <w:rsid w:val="00D06F20"/>
    <w:rsid w:val="00D121E6"/>
    <w:rsid w:val="00D13019"/>
    <w:rsid w:val="00D17CA9"/>
    <w:rsid w:val="00D2354C"/>
    <w:rsid w:val="00D244DB"/>
    <w:rsid w:val="00D55A15"/>
    <w:rsid w:val="00D6037C"/>
    <w:rsid w:val="00D65801"/>
    <w:rsid w:val="00D977CA"/>
    <w:rsid w:val="00DB3372"/>
    <w:rsid w:val="00DB4DBA"/>
    <w:rsid w:val="00DB70C7"/>
    <w:rsid w:val="00DC7524"/>
    <w:rsid w:val="00DE2D56"/>
    <w:rsid w:val="00DE3367"/>
    <w:rsid w:val="00E13439"/>
    <w:rsid w:val="00E14538"/>
    <w:rsid w:val="00E23512"/>
    <w:rsid w:val="00E23ADB"/>
    <w:rsid w:val="00E34819"/>
    <w:rsid w:val="00E45EAC"/>
    <w:rsid w:val="00E461AB"/>
    <w:rsid w:val="00E5009A"/>
    <w:rsid w:val="00E71659"/>
    <w:rsid w:val="00E7434A"/>
    <w:rsid w:val="00E745DD"/>
    <w:rsid w:val="00E747EA"/>
    <w:rsid w:val="00E852D3"/>
    <w:rsid w:val="00E950DC"/>
    <w:rsid w:val="00EA781A"/>
    <w:rsid w:val="00EB3C9C"/>
    <w:rsid w:val="00EB6FCA"/>
    <w:rsid w:val="00ED0AC0"/>
    <w:rsid w:val="00ED1470"/>
    <w:rsid w:val="00ED2619"/>
    <w:rsid w:val="00EE7BC6"/>
    <w:rsid w:val="00EF062C"/>
    <w:rsid w:val="00F14EE7"/>
    <w:rsid w:val="00F15A49"/>
    <w:rsid w:val="00F17AED"/>
    <w:rsid w:val="00F2086E"/>
    <w:rsid w:val="00F405F5"/>
    <w:rsid w:val="00F44FB7"/>
    <w:rsid w:val="00F64EAF"/>
    <w:rsid w:val="00F64FC3"/>
    <w:rsid w:val="00F658CC"/>
    <w:rsid w:val="00F75F6F"/>
    <w:rsid w:val="00F76DE5"/>
    <w:rsid w:val="00F8166B"/>
    <w:rsid w:val="00F858CA"/>
    <w:rsid w:val="00FA1830"/>
    <w:rsid w:val="00FB03E0"/>
    <w:rsid w:val="00FB2E06"/>
    <w:rsid w:val="00FB7966"/>
    <w:rsid w:val="00FC22E8"/>
    <w:rsid w:val="00FD7D2C"/>
    <w:rsid w:val="00FF3C7B"/>
    <w:rsid w:val="00FF73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1230C"/>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1230C"/>
    <w:pPr>
      <w:tabs>
        <w:tab w:val="center" w:pos="4536"/>
        <w:tab w:val="right" w:pos="9072"/>
      </w:tabs>
    </w:pPr>
  </w:style>
  <w:style w:type="character" w:customStyle="1" w:styleId="HlavikaChar">
    <w:name w:val="Hlavička Char"/>
    <w:basedOn w:val="Predvolenpsmoodseku"/>
    <w:link w:val="Hlavika"/>
    <w:rsid w:val="00A1230C"/>
  </w:style>
  <w:style w:type="paragraph" w:styleId="Pta">
    <w:name w:val="footer"/>
    <w:basedOn w:val="Normlny"/>
    <w:link w:val="PtaChar"/>
    <w:unhideWhenUsed/>
    <w:rsid w:val="00A1230C"/>
    <w:pPr>
      <w:tabs>
        <w:tab w:val="center" w:pos="4536"/>
        <w:tab w:val="right" w:pos="9072"/>
      </w:tabs>
    </w:pPr>
  </w:style>
  <w:style w:type="character" w:customStyle="1" w:styleId="PtaChar">
    <w:name w:val="Päta Char"/>
    <w:basedOn w:val="Predvolenpsmoodseku"/>
    <w:link w:val="Pta"/>
    <w:rsid w:val="00A1230C"/>
  </w:style>
  <w:style w:type="paragraph" w:styleId="Textbubliny">
    <w:name w:val="Balloon Text"/>
    <w:basedOn w:val="Normlny"/>
    <w:link w:val="TextbublinyChar"/>
    <w:uiPriority w:val="99"/>
    <w:semiHidden/>
    <w:unhideWhenUsed/>
    <w:rsid w:val="00A1230C"/>
    <w:rPr>
      <w:rFonts w:ascii="Tahoma" w:hAnsi="Tahoma" w:cs="Tahoma"/>
      <w:sz w:val="16"/>
      <w:szCs w:val="16"/>
    </w:rPr>
  </w:style>
  <w:style w:type="character" w:customStyle="1" w:styleId="TextbublinyChar">
    <w:name w:val="Text bubliny Char"/>
    <w:link w:val="Textbubliny"/>
    <w:uiPriority w:val="99"/>
    <w:semiHidden/>
    <w:rsid w:val="00A1230C"/>
    <w:rPr>
      <w:rFonts w:ascii="Tahoma" w:hAnsi="Tahoma" w:cs="Tahoma"/>
      <w:sz w:val="16"/>
      <w:szCs w:val="16"/>
    </w:rPr>
  </w:style>
  <w:style w:type="paragraph" w:customStyle="1" w:styleId="PotText">
    <w:name w:val="Pot_Text"/>
    <w:basedOn w:val="Pokraovaniezoznamu2"/>
    <w:link w:val="PotTextChar"/>
    <w:qFormat/>
    <w:rsid w:val="00A1230C"/>
    <w:pPr>
      <w:tabs>
        <w:tab w:val="left" w:pos="113"/>
      </w:tabs>
      <w:spacing w:after="0"/>
      <w:ind w:left="0"/>
      <w:contextualSpacing w:val="0"/>
      <w:jc w:val="both"/>
    </w:pPr>
    <w:rPr>
      <w:bCs/>
      <w:sz w:val="20"/>
      <w:szCs w:val="20"/>
      <w:lang w:val="x-none" w:eastAsia="x-none"/>
    </w:rPr>
  </w:style>
  <w:style w:type="paragraph" w:customStyle="1" w:styleId="sta">
    <w:name w:val="stať"/>
    <w:basedOn w:val="PotText"/>
    <w:qFormat/>
    <w:rsid w:val="00A1230C"/>
    <w:rPr>
      <w:rFonts w:ascii="Times New Roman Bold" w:hAnsi="Times New Roman Bold"/>
      <w:b/>
      <w:caps/>
      <w:sz w:val="22"/>
    </w:rPr>
  </w:style>
  <w:style w:type="character" w:customStyle="1" w:styleId="apple-style-span">
    <w:name w:val="apple-style-span"/>
    <w:basedOn w:val="Predvolenpsmoodseku"/>
    <w:rsid w:val="00A1230C"/>
  </w:style>
  <w:style w:type="character" w:customStyle="1" w:styleId="apple-converted-space">
    <w:name w:val="apple-converted-space"/>
    <w:basedOn w:val="Predvolenpsmoodseku"/>
    <w:rsid w:val="00A1230C"/>
  </w:style>
  <w:style w:type="paragraph" w:styleId="Normlnywebov">
    <w:name w:val="Normal (Web)"/>
    <w:basedOn w:val="Normlny"/>
    <w:uiPriority w:val="99"/>
    <w:unhideWhenUsed/>
    <w:rsid w:val="00A1230C"/>
    <w:pPr>
      <w:spacing w:before="100" w:beforeAutospacing="1" w:after="100" w:afterAutospacing="1"/>
    </w:pPr>
  </w:style>
  <w:style w:type="character" w:customStyle="1" w:styleId="shorttext">
    <w:name w:val="short_text"/>
    <w:basedOn w:val="Predvolenpsmoodseku"/>
    <w:rsid w:val="00A1230C"/>
  </w:style>
  <w:style w:type="character" w:customStyle="1" w:styleId="PotTextChar">
    <w:name w:val="Pot_Text Char"/>
    <w:link w:val="PotText"/>
    <w:rsid w:val="00A1230C"/>
    <w:rPr>
      <w:rFonts w:ascii="Times New Roman" w:eastAsia="Times New Roman" w:hAnsi="Times New Roman" w:cs="Times New Roman"/>
      <w:bCs/>
      <w:sz w:val="20"/>
      <w:szCs w:val="20"/>
      <w:lang w:val="x-none" w:eastAsia="x-none"/>
    </w:rPr>
  </w:style>
  <w:style w:type="paragraph" w:styleId="Pokraovaniezoznamu2">
    <w:name w:val="List Continue 2"/>
    <w:basedOn w:val="Normlny"/>
    <w:uiPriority w:val="99"/>
    <w:semiHidden/>
    <w:unhideWhenUsed/>
    <w:rsid w:val="00A1230C"/>
    <w:pPr>
      <w:spacing w:after="120"/>
      <w:ind w:left="566"/>
      <w:contextualSpacing/>
    </w:pPr>
  </w:style>
  <w:style w:type="character" w:customStyle="1" w:styleId="longtext">
    <w:name w:val="long_text"/>
    <w:basedOn w:val="Predvolenpsmoodseku"/>
    <w:rsid w:val="00A1230C"/>
  </w:style>
  <w:style w:type="character" w:styleId="Hypertextovprepojenie">
    <w:name w:val="Hyperlink"/>
    <w:rsid w:val="00A1230C"/>
    <w:rPr>
      <w:color w:val="0000FF"/>
      <w:u w:val="single"/>
    </w:rPr>
  </w:style>
  <w:style w:type="character" w:styleId="slostrany">
    <w:name w:val="page number"/>
    <w:basedOn w:val="Predvolenpsmoodseku"/>
    <w:rsid w:val="00A1230C"/>
  </w:style>
  <w:style w:type="paragraph" w:customStyle="1" w:styleId="PotLitera">
    <w:name w:val="Pot_Litera"/>
    <w:basedOn w:val="Normlny"/>
    <w:autoRedefine/>
    <w:qFormat/>
    <w:rsid w:val="00F76DE5"/>
    <w:pPr>
      <w:autoSpaceDE w:val="0"/>
      <w:autoSpaceDN w:val="0"/>
      <w:adjustRightInd w:val="0"/>
      <w:ind w:firstLine="142"/>
    </w:pPr>
    <w:rPr>
      <w:sz w:val="20"/>
      <w:szCs w:val="20"/>
    </w:rPr>
  </w:style>
  <w:style w:type="paragraph" w:customStyle="1" w:styleId="zdroje1">
    <w:name w:val="zdroje1"/>
    <w:basedOn w:val="Normlny"/>
    <w:qFormat/>
    <w:rsid w:val="00A1230C"/>
    <w:pPr>
      <w:ind w:firstLine="142"/>
      <w:jc w:val="both"/>
    </w:pPr>
    <w:rPr>
      <w:sz w:val="19"/>
      <w:szCs w:val="19"/>
    </w:rPr>
  </w:style>
  <w:style w:type="paragraph" w:customStyle="1" w:styleId="textnormal">
    <w:name w:val="textnormal"/>
    <w:basedOn w:val="Normlny"/>
    <w:rsid w:val="00A1230C"/>
    <w:pPr>
      <w:spacing w:before="100" w:beforeAutospacing="1" w:after="100" w:afterAutospacing="1"/>
    </w:pPr>
  </w:style>
  <w:style w:type="character" w:styleId="Siln">
    <w:name w:val="Strong"/>
    <w:uiPriority w:val="22"/>
    <w:qFormat/>
    <w:rsid w:val="00A1230C"/>
    <w:rPr>
      <w:b/>
      <w:bCs/>
    </w:rPr>
  </w:style>
  <w:style w:type="character" w:customStyle="1" w:styleId="msonormal0">
    <w:name w:val="msonormal"/>
    <w:basedOn w:val="Predvolenpsmoodseku"/>
    <w:rsid w:val="00A1230C"/>
  </w:style>
  <w:style w:type="character" w:customStyle="1" w:styleId="textbold">
    <w:name w:val="textbold"/>
    <w:basedOn w:val="Predvolenpsmoodseku"/>
    <w:rsid w:val="00A1230C"/>
  </w:style>
  <w:style w:type="paragraph" w:customStyle="1" w:styleId="textnormal1">
    <w:name w:val="textnormal1"/>
    <w:basedOn w:val="Normlny"/>
    <w:rsid w:val="00A1230C"/>
    <w:pPr>
      <w:spacing w:before="100" w:beforeAutospacing="1" w:after="100" w:afterAutospacing="1"/>
    </w:pPr>
  </w:style>
  <w:style w:type="paragraph" w:customStyle="1" w:styleId="textbold1">
    <w:name w:val="textbold1"/>
    <w:basedOn w:val="Normlny"/>
    <w:rsid w:val="00A1230C"/>
    <w:pPr>
      <w:spacing w:before="100" w:beforeAutospacing="1" w:after="100" w:afterAutospacing="1"/>
    </w:pPr>
  </w:style>
  <w:style w:type="character" w:customStyle="1" w:styleId="ref-journal1">
    <w:name w:val="ref-journal1"/>
    <w:rsid w:val="00A1230C"/>
    <w:rPr>
      <w:i/>
      <w:iCs/>
      <w:sz w:val="19"/>
      <w:szCs w:val="19"/>
    </w:rPr>
  </w:style>
  <w:style w:type="character" w:customStyle="1" w:styleId="title11">
    <w:name w:val="title_11"/>
    <w:rsid w:val="00A1230C"/>
    <w:rPr>
      <w:rFonts w:ascii="Arial" w:hAnsi="Arial" w:cs="Arial" w:hint="default"/>
      <w:b/>
      <w:bCs/>
      <w:strike w:val="0"/>
      <w:dstrike w:val="0"/>
      <w:color w:val="99CC66"/>
      <w:sz w:val="27"/>
      <w:szCs w:val="27"/>
      <w:u w:val="none"/>
      <w:effect w:val="none"/>
    </w:rPr>
  </w:style>
  <w:style w:type="character" w:customStyle="1" w:styleId="A1">
    <w:name w:val="A1"/>
    <w:uiPriority w:val="99"/>
    <w:rsid w:val="0068609E"/>
    <w:rPr>
      <w:color w:val="000000"/>
      <w:sz w:val="18"/>
      <w:szCs w:val="18"/>
    </w:rPr>
  </w:style>
  <w:style w:type="character" w:styleId="Zvraznenie">
    <w:name w:val="Emphasis"/>
    <w:uiPriority w:val="20"/>
    <w:qFormat/>
    <w:rsid w:val="0068609E"/>
    <w:rPr>
      <w:i/>
      <w:iCs/>
    </w:rPr>
  </w:style>
  <w:style w:type="table" w:styleId="Mriekatabuky">
    <w:name w:val="Table Grid"/>
    <w:basedOn w:val="Normlnatabuka"/>
    <w:rsid w:val="00F64E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Normlny"/>
    <w:next w:val="Normlny"/>
    <w:rsid w:val="00703C38"/>
    <w:pPr>
      <w:autoSpaceDE w:val="0"/>
      <w:autoSpaceDN w:val="0"/>
      <w:adjustRightInd w:val="0"/>
      <w:spacing w:line="193" w:lineRule="atLeast"/>
    </w:pPr>
  </w:style>
  <w:style w:type="paragraph" w:customStyle="1" w:styleId="Default">
    <w:name w:val="Default"/>
    <w:rsid w:val="00227E69"/>
    <w:pPr>
      <w:autoSpaceDE w:val="0"/>
      <w:autoSpaceDN w:val="0"/>
      <w:adjustRightInd w:val="0"/>
    </w:pPr>
    <w:rPr>
      <w:rFonts w:ascii="Times New Roman" w:eastAsia="Times New Roman" w:hAnsi="Times New Roman"/>
      <w:color w:val="000000"/>
      <w:sz w:val="24"/>
      <w:szCs w:val="24"/>
    </w:rPr>
  </w:style>
  <w:style w:type="paragraph" w:styleId="Zkladntext">
    <w:name w:val="Body Text"/>
    <w:basedOn w:val="Normlny"/>
    <w:rsid w:val="00A15955"/>
    <w:pPr>
      <w:spacing w:after="120"/>
    </w:pPr>
  </w:style>
  <w:style w:type="paragraph" w:styleId="truktradokumentu">
    <w:name w:val="Document Map"/>
    <w:basedOn w:val="Normlny"/>
    <w:semiHidden/>
    <w:rsid w:val="00D244DB"/>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1230C"/>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1230C"/>
    <w:pPr>
      <w:tabs>
        <w:tab w:val="center" w:pos="4536"/>
        <w:tab w:val="right" w:pos="9072"/>
      </w:tabs>
    </w:pPr>
  </w:style>
  <w:style w:type="character" w:customStyle="1" w:styleId="HlavikaChar">
    <w:name w:val="Hlavička Char"/>
    <w:basedOn w:val="Predvolenpsmoodseku"/>
    <w:link w:val="Hlavika"/>
    <w:rsid w:val="00A1230C"/>
  </w:style>
  <w:style w:type="paragraph" w:styleId="Pta">
    <w:name w:val="footer"/>
    <w:basedOn w:val="Normlny"/>
    <w:link w:val="PtaChar"/>
    <w:unhideWhenUsed/>
    <w:rsid w:val="00A1230C"/>
    <w:pPr>
      <w:tabs>
        <w:tab w:val="center" w:pos="4536"/>
        <w:tab w:val="right" w:pos="9072"/>
      </w:tabs>
    </w:pPr>
  </w:style>
  <w:style w:type="character" w:customStyle="1" w:styleId="PtaChar">
    <w:name w:val="Päta Char"/>
    <w:basedOn w:val="Predvolenpsmoodseku"/>
    <w:link w:val="Pta"/>
    <w:rsid w:val="00A1230C"/>
  </w:style>
  <w:style w:type="paragraph" w:styleId="Textbubliny">
    <w:name w:val="Balloon Text"/>
    <w:basedOn w:val="Normlny"/>
    <w:link w:val="TextbublinyChar"/>
    <w:uiPriority w:val="99"/>
    <w:semiHidden/>
    <w:unhideWhenUsed/>
    <w:rsid w:val="00A1230C"/>
    <w:rPr>
      <w:rFonts w:ascii="Tahoma" w:hAnsi="Tahoma" w:cs="Tahoma"/>
      <w:sz w:val="16"/>
      <w:szCs w:val="16"/>
    </w:rPr>
  </w:style>
  <w:style w:type="character" w:customStyle="1" w:styleId="TextbublinyChar">
    <w:name w:val="Text bubliny Char"/>
    <w:link w:val="Textbubliny"/>
    <w:uiPriority w:val="99"/>
    <w:semiHidden/>
    <w:rsid w:val="00A1230C"/>
    <w:rPr>
      <w:rFonts w:ascii="Tahoma" w:hAnsi="Tahoma" w:cs="Tahoma"/>
      <w:sz w:val="16"/>
      <w:szCs w:val="16"/>
    </w:rPr>
  </w:style>
  <w:style w:type="paragraph" w:customStyle="1" w:styleId="PotText">
    <w:name w:val="Pot_Text"/>
    <w:basedOn w:val="Pokraovaniezoznamu2"/>
    <w:link w:val="PotTextChar"/>
    <w:qFormat/>
    <w:rsid w:val="00A1230C"/>
    <w:pPr>
      <w:tabs>
        <w:tab w:val="left" w:pos="113"/>
      </w:tabs>
      <w:spacing w:after="0"/>
      <w:ind w:left="0"/>
      <w:contextualSpacing w:val="0"/>
      <w:jc w:val="both"/>
    </w:pPr>
    <w:rPr>
      <w:bCs/>
      <w:sz w:val="20"/>
      <w:szCs w:val="20"/>
      <w:lang w:val="x-none" w:eastAsia="x-none"/>
    </w:rPr>
  </w:style>
  <w:style w:type="paragraph" w:customStyle="1" w:styleId="sta">
    <w:name w:val="stať"/>
    <w:basedOn w:val="PotText"/>
    <w:qFormat/>
    <w:rsid w:val="00A1230C"/>
    <w:rPr>
      <w:rFonts w:ascii="Times New Roman Bold" w:hAnsi="Times New Roman Bold"/>
      <w:b/>
      <w:caps/>
      <w:sz w:val="22"/>
    </w:rPr>
  </w:style>
  <w:style w:type="character" w:customStyle="1" w:styleId="apple-style-span">
    <w:name w:val="apple-style-span"/>
    <w:basedOn w:val="Predvolenpsmoodseku"/>
    <w:rsid w:val="00A1230C"/>
  </w:style>
  <w:style w:type="character" w:customStyle="1" w:styleId="apple-converted-space">
    <w:name w:val="apple-converted-space"/>
    <w:basedOn w:val="Predvolenpsmoodseku"/>
    <w:rsid w:val="00A1230C"/>
  </w:style>
  <w:style w:type="paragraph" w:styleId="Normlnywebov">
    <w:name w:val="Normal (Web)"/>
    <w:basedOn w:val="Normlny"/>
    <w:uiPriority w:val="99"/>
    <w:unhideWhenUsed/>
    <w:rsid w:val="00A1230C"/>
    <w:pPr>
      <w:spacing w:before="100" w:beforeAutospacing="1" w:after="100" w:afterAutospacing="1"/>
    </w:pPr>
  </w:style>
  <w:style w:type="character" w:customStyle="1" w:styleId="shorttext">
    <w:name w:val="short_text"/>
    <w:basedOn w:val="Predvolenpsmoodseku"/>
    <w:rsid w:val="00A1230C"/>
  </w:style>
  <w:style w:type="character" w:customStyle="1" w:styleId="PotTextChar">
    <w:name w:val="Pot_Text Char"/>
    <w:link w:val="PotText"/>
    <w:rsid w:val="00A1230C"/>
    <w:rPr>
      <w:rFonts w:ascii="Times New Roman" w:eastAsia="Times New Roman" w:hAnsi="Times New Roman" w:cs="Times New Roman"/>
      <w:bCs/>
      <w:sz w:val="20"/>
      <w:szCs w:val="20"/>
      <w:lang w:val="x-none" w:eastAsia="x-none"/>
    </w:rPr>
  </w:style>
  <w:style w:type="paragraph" w:styleId="Pokraovaniezoznamu2">
    <w:name w:val="List Continue 2"/>
    <w:basedOn w:val="Normlny"/>
    <w:uiPriority w:val="99"/>
    <w:semiHidden/>
    <w:unhideWhenUsed/>
    <w:rsid w:val="00A1230C"/>
    <w:pPr>
      <w:spacing w:after="120"/>
      <w:ind w:left="566"/>
      <w:contextualSpacing/>
    </w:pPr>
  </w:style>
  <w:style w:type="character" w:customStyle="1" w:styleId="longtext">
    <w:name w:val="long_text"/>
    <w:basedOn w:val="Predvolenpsmoodseku"/>
    <w:rsid w:val="00A1230C"/>
  </w:style>
  <w:style w:type="character" w:styleId="Hypertextovprepojenie">
    <w:name w:val="Hyperlink"/>
    <w:rsid w:val="00A1230C"/>
    <w:rPr>
      <w:color w:val="0000FF"/>
      <w:u w:val="single"/>
    </w:rPr>
  </w:style>
  <w:style w:type="character" w:styleId="slostrany">
    <w:name w:val="page number"/>
    <w:basedOn w:val="Predvolenpsmoodseku"/>
    <w:rsid w:val="00A1230C"/>
  </w:style>
  <w:style w:type="paragraph" w:customStyle="1" w:styleId="PotLitera">
    <w:name w:val="Pot_Litera"/>
    <w:basedOn w:val="Normlny"/>
    <w:autoRedefine/>
    <w:qFormat/>
    <w:rsid w:val="00F76DE5"/>
    <w:pPr>
      <w:autoSpaceDE w:val="0"/>
      <w:autoSpaceDN w:val="0"/>
      <w:adjustRightInd w:val="0"/>
      <w:ind w:firstLine="142"/>
    </w:pPr>
    <w:rPr>
      <w:sz w:val="20"/>
      <w:szCs w:val="20"/>
    </w:rPr>
  </w:style>
  <w:style w:type="paragraph" w:customStyle="1" w:styleId="zdroje1">
    <w:name w:val="zdroje1"/>
    <w:basedOn w:val="Normlny"/>
    <w:qFormat/>
    <w:rsid w:val="00A1230C"/>
    <w:pPr>
      <w:ind w:firstLine="142"/>
      <w:jc w:val="both"/>
    </w:pPr>
    <w:rPr>
      <w:sz w:val="19"/>
      <w:szCs w:val="19"/>
    </w:rPr>
  </w:style>
  <w:style w:type="paragraph" w:customStyle="1" w:styleId="textnormal">
    <w:name w:val="textnormal"/>
    <w:basedOn w:val="Normlny"/>
    <w:rsid w:val="00A1230C"/>
    <w:pPr>
      <w:spacing w:before="100" w:beforeAutospacing="1" w:after="100" w:afterAutospacing="1"/>
    </w:pPr>
  </w:style>
  <w:style w:type="character" w:styleId="Siln">
    <w:name w:val="Strong"/>
    <w:uiPriority w:val="22"/>
    <w:qFormat/>
    <w:rsid w:val="00A1230C"/>
    <w:rPr>
      <w:b/>
      <w:bCs/>
    </w:rPr>
  </w:style>
  <w:style w:type="character" w:customStyle="1" w:styleId="msonormal0">
    <w:name w:val="msonormal"/>
    <w:basedOn w:val="Predvolenpsmoodseku"/>
    <w:rsid w:val="00A1230C"/>
  </w:style>
  <w:style w:type="character" w:customStyle="1" w:styleId="textbold">
    <w:name w:val="textbold"/>
    <w:basedOn w:val="Predvolenpsmoodseku"/>
    <w:rsid w:val="00A1230C"/>
  </w:style>
  <w:style w:type="paragraph" w:customStyle="1" w:styleId="textnormal1">
    <w:name w:val="textnormal1"/>
    <w:basedOn w:val="Normlny"/>
    <w:rsid w:val="00A1230C"/>
    <w:pPr>
      <w:spacing w:before="100" w:beforeAutospacing="1" w:after="100" w:afterAutospacing="1"/>
    </w:pPr>
  </w:style>
  <w:style w:type="paragraph" w:customStyle="1" w:styleId="textbold1">
    <w:name w:val="textbold1"/>
    <w:basedOn w:val="Normlny"/>
    <w:rsid w:val="00A1230C"/>
    <w:pPr>
      <w:spacing w:before="100" w:beforeAutospacing="1" w:after="100" w:afterAutospacing="1"/>
    </w:pPr>
  </w:style>
  <w:style w:type="character" w:customStyle="1" w:styleId="ref-journal1">
    <w:name w:val="ref-journal1"/>
    <w:rsid w:val="00A1230C"/>
    <w:rPr>
      <w:i/>
      <w:iCs/>
      <w:sz w:val="19"/>
      <w:szCs w:val="19"/>
    </w:rPr>
  </w:style>
  <w:style w:type="character" w:customStyle="1" w:styleId="title11">
    <w:name w:val="title_11"/>
    <w:rsid w:val="00A1230C"/>
    <w:rPr>
      <w:rFonts w:ascii="Arial" w:hAnsi="Arial" w:cs="Arial" w:hint="default"/>
      <w:b/>
      <w:bCs/>
      <w:strike w:val="0"/>
      <w:dstrike w:val="0"/>
      <w:color w:val="99CC66"/>
      <w:sz w:val="27"/>
      <w:szCs w:val="27"/>
      <w:u w:val="none"/>
      <w:effect w:val="none"/>
    </w:rPr>
  </w:style>
  <w:style w:type="character" w:customStyle="1" w:styleId="A1">
    <w:name w:val="A1"/>
    <w:uiPriority w:val="99"/>
    <w:rsid w:val="0068609E"/>
    <w:rPr>
      <w:color w:val="000000"/>
      <w:sz w:val="18"/>
      <w:szCs w:val="18"/>
    </w:rPr>
  </w:style>
  <w:style w:type="character" w:styleId="Zvraznenie">
    <w:name w:val="Emphasis"/>
    <w:uiPriority w:val="20"/>
    <w:qFormat/>
    <w:rsid w:val="0068609E"/>
    <w:rPr>
      <w:i/>
      <w:iCs/>
    </w:rPr>
  </w:style>
  <w:style w:type="table" w:styleId="Mriekatabuky">
    <w:name w:val="Table Grid"/>
    <w:basedOn w:val="Normlnatabuka"/>
    <w:rsid w:val="00F64E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Normlny"/>
    <w:next w:val="Normlny"/>
    <w:rsid w:val="00703C38"/>
    <w:pPr>
      <w:autoSpaceDE w:val="0"/>
      <w:autoSpaceDN w:val="0"/>
      <w:adjustRightInd w:val="0"/>
      <w:spacing w:line="193" w:lineRule="atLeast"/>
    </w:pPr>
  </w:style>
  <w:style w:type="paragraph" w:customStyle="1" w:styleId="Default">
    <w:name w:val="Default"/>
    <w:rsid w:val="00227E69"/>
    <w:pPr>
      <w:autoSpaceDE w:val="0"/>
      <w:autoSpaceDN w:val="0"/>
      <w:adjustRightInd w:val="0"/>
    </w:pPr>
    <w:rPr>
      <w:rFonts w:ascii="Times New Roman" w:eastAsia="Times New Roman" w:hAnsi="Times New Roman"/>
      <w:color w:val="000000"/>
      <w:sz w:val="24"/>
      <w:szCs w:val="24"/>
    </w:rPr>
  </w:style>
  <w:style w:type="paragraph" w:styleId="Zkladntext">
    <w:name w:val="Body Text"/>
    <w:basedOn w:val="Normlny"/>
    <w:rsid w:val="00A15955"/>
    <w:pPr>
      <w:spacing w:after="120"/>
    </w:pPr>
  </w:style>
  <w:style w:type="paragraph" w:styleId="truktradokumentu">
    <w:name w:val="Document Map"/>
    <w:basedOn w:val="Normlny"/>
    <w:semiHidden/>
    <w:rsid w:val="00D244DB"/>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gpat.com.ar/proceeding_25th.pdf" TargetMode="External"/><Relationship Id="rId18" Type="http://schemas.openxmlformats.org/officeDocument/2006/relationships/hyperlink" Target="mailto:anna.mikulajova@stuba.s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xstofirova@stuba.sk" TargetMode="External"/><Relationship Id="rId2" Type="http://schemas.openxmlformats.org/officeDocument/2006/relationships/styles" Target="styles.xml"/><Relationship Id="rId16" Type="http://schemas.openxmlformats.org/officeDocument/2006/relationships/hyperlink" Target="mailto:eva.hybenova@stuba.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aafp.org/afp/2007/1215/p1795.html"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ur-lex.europ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4993</Words>
  <Characters>28463</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Potravinarstvo, vol</vt:lpstr>
    </vt:vector>
  </TitlesOfParts>
  <Company/>
  <LinksUpToDate>false</LinksUpToDate>
  <CharactersWithSpaces>33390</CharactersWithSpaces>
  <SharedDoc>false</SharedDoc>
  <HLinks>
    <vt:vector size="24" baseType="variant">
      <vt:variant>
        <vt:i4>2359371</vt:i4>
      </vt:variant>
      <vt:variant>
        <vt:i4>12</vt:i4>
      </vt:variant>
      <vt:variant>
        <vt:i4>0</vt:i4>
      </vt:variant>
      <vt:variant>
        <vt:i4>5</vt:i4>
      </vt:variant>
      <vt:variant>
        <vt:lpwstr>mailto:anna.mikulajova@stuba.sk</vt:lpwstr>
      </vt:variant>
      <vt:variant>
        <vt:lpwstr/>
      </vt:variant>
      <vt:variant>
        <vt:i4>2031653</vt:i4>
      </vt:variant>
      <vt:variant>
        <vt:i4>9</vt:i4>
      </vt:variant>
      <vt:variant>
        <vt:i4>0</vt:i4>
      </vt:variant>
      <vt:variant>
        <vt:i4>5</vt:i4>
      </vt:variant>
      <vt:variant>
        <vt:lpwstr>mailto:xstofirova@stuba.sk</vt:lpwstr>
      </vt:variant>
      <vt:variant>
        <vt:lpwstr/>
      </vt:variant>
      <vt:variant>
        <vt:i4>6750228</vt:i4>
      </vt:variant>
      <vt:variant>
        <vt:i4>6</vt:i4>
      </vt:variant>
      <vt:variant>
        <vt:i4>0</vt:i4>
      </vt:variant>
      <vt:variant>
        <vt:i4>5</vt:i4>
      </vt:variant>
      <vt:variant>
        <vt:lpwstr>mailto:eva.hybenova@stuba.sk</vt:lpwstr>
      </vt:variant>
      <vt:variant>
        <vt:lpwstr/>
      </vt:variant>
      <vt:variant>
        <vt:i4>7209033</vt:i4>
      </vt:variant>
      <vt:variant>
        <vt:i4>3</vt:i4>
      </vt:variant>
      <vt:variant>
        <vt:i4>0</vt:i4>
      </vt:variant>
      <vt:variant>
        <vt:i4>5</vt:i4>
      </vt:variant>
      <vt:variant>
        <vt:lpwstr>http://www.wgpat.com.ar/proceeding_25th.pdf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Potravinarstvo, vol</dc:title>
  <dc:creator>Peter Zajác</dc:creator>
  <cp:lastModifiedBy>hybenova</cp:lastModifiedBy>
  <cp:revision>4</cp:revision>
  <cp:lastPrinted>2013-04-11T11:57:00Z</cp:lastPrinted>
  <dcterms:created xsi:type="dcterms:W3CDTF">2013-04-11T10:49:00Z</dcterms:created>
  <dcterms:modified xsi:type="dcterms:W3CDTF">2013-04-11T12:38:00Z</dcterms:modified>
</cp:coreProperties>
</file>